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6C357C60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09550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0955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91C4A" w14:textId="77777777" w:rsidR="004B5E55" w:rsidRDefault="00C97B4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3F2F0AE4" w14:textId="77777777" w:rsidR="004B5E55" w:rsidRDefault="00C97B44">
                            <w:pPr>
                              <w:pStyle w:val="BodyText"/>
                              <w:ind w:left="109"/>
                            </w:pPr>
                            <w:r>
                              <w:t>ORDINANCE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2023-</w:t>
                            </w: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  <w:p w14:paraId="24BD348B" w14:textId="77777777" w:rsidR="004B5E55" w:rsidRDefault="00C97B44">
                            <w:pPr>
                              <w:pStyle w:val="BodyText"/>
                              <w:spacing w:before="185"/>
                              <w:ind w:left="109" w:right="274"/>
                            </w:pPr>
                            <w:r>
                              <w:t>AN ORDINANCE OF THE CITY OF NEWBERRY, FLORIDA, ANNEXING CERTAIN PORTIONS OF UNINCORPORATED ALACHUA COUNTY THAT INCLUDES PARCEL NO. 02659-000-000, AS MORE PARTICULARLY DESCRIBED IN THIS ORDINANCE,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PETITIONED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PURSUANT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6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37291C4A" w14:textId="77777777" w:rsidR="004B5E55" w:rsidRDefault="00C97B4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3F2F0AE4" w14:textId="77777777" w:rsidR="004B5E55" w:rsidRDefault="00C97B44">
                      <w:pPr>
                        <w:pStyle w:val="BodyText"/>
                        <w:ind w:left="109"/>
                      </w:pPr>
                      <w:r>
                        <w:t>ORDINANCE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2023-</w:t>
                      </w:r>
                      <w:r>
                        <w:rPr>
                          <w:spacing w:val="-5"/>
                        </w:rPr>
                        <w:t>34</w:t>
                      </w:r>
                    </w:p>
                    <w:p w14:paraId="24BD348B" w14:textId="77777777" w:rsidR="004B5E55" w:rsidRDefault="00C97B44">
                      <w:pPr>
                        <w:pStyle w:val="BodyText"/>
                        <w:spacing w:before="185"/>
                        <w:ind w:left="109" w:right="274"/>
                      </w:pPr>
                      <w:r>
                        <w:t>AN ORDINANCE OF THE CITY OF NEWBERRY, FLORIDA, ANNEXING CERTAIN PORTIONS OF UNINCORPORATED ALACHUA COUNTY THAT INCLUDES PARCEL NO. 02659-000-000, AS MORE PARTICULARLY DESCRIBED IN THIS ORDINANCE,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PETITIONED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PURSUANT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24E2BDF" w14:textId="77777777" w:rsidR="004B5E55" w:rsidRDefault="00C97B4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0BF5AFB4" w14:textId="77777777" w:rsidR="004B5E55" w:rsidRDefault="004B5E55">
      <w:pPr>
        <w:pStyle w:val="BodyText"/>
        <w:spacing w:before="11"/>
        <w:rPr>
          <w:sz w:val="20"/>
        </w:rPr>
      </w:pPr>
    </w:p>
    <w:p w14:paraId="6B624DE1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r>
        <w:rPr>
          <w:spacing w:val="-2"/>
          <w:sz w:val="24"/>
        </w:rPr>
        <w:t>regulation;</w:t>
      </w:r>
    </w:p>
    <w:p w14:paraId="35529822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debt;</w:t>
      </w:r>
    </w:p>
    <w:p w14:paraId="3CA30E2B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>The proposed ordinance relates to the adoption of budgets or budget amendments, including revenue sources necessary to fund the budget;</w:t>
      </w:r>
    </w:p>
    <w:p w14:paraId="56635BD7" w14:textId="77777777" w:rsidR="004B5E55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ordinance;</w:t>
      </w:r>
    </w:p>
    <w:p w14:paraId="3F392AB9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F28D3B3" w14:textId="77777777" w:rsidR="004B5E55" w:rsidRDefault="00C97B44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0025CED3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>Sections 190.005 and 190.046, Florida Statutes, regarding community development districts;</w:t>
      </w:r>
    </w:p>
    <w:p w14:paraId="44D1E60B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373187A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317ECA0D" w14:textId="77777777" w:rsidR="00C97B44" w:rsidRDefault="00C97B44" w:rsidP="00C97B44">
      <w:pPr>
        <w:pStyle w:val="BodyText"/>
      </w:pPr>
    </w:p>
    <w:p w14:paraId="681A245F" w14:textId="77777777" w:rsidR="00C97B44" w:rsidRPr="005B3AE7" w:rsidRDefault="00C97B44" w:rsidP="00C97B44">
      <w:pPr>
        <w:pStyle w:val="BodyText"/>
        <w:ind w:left="219"/>
        <w:rPr>
          <w:b/>
          <w:bCs/>
        </w:rPr>
      </w:pPr>
      <w:r w:rsidRPr="005B3AE7">
        <w:rPr>
          <w:b/>
          <w:bCs/>
        </w:rPr>
        <w:t>If</w:t>
      </w:r>
      <w:r w:rsidRPr="005B3AE7">
        <w:rPr>
          <w:b/>
          <w:bCs/>
          <w:spacing w:val="-2"/>
        </w:rPr>
        <w:t xml:space="preserve"> </w:t>
      </w:r>
      <w:r w:rsidRPr="005B3AE7">
        <w:rPr>
          <w:b/>
          <w:bCs/>
        </w:rPr>
        <w:t>any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box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is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checked</w:t>
      </w:r>
      <w:r w:rsidRPr="005B3AE7">
        <w:rPr>
          <w:b/>
          <w:bCs/>
          <w:spacing w:val="-2"/>
        </w:rPr>
        <w:t xml:space="preserve"> </w:t>
      </w:r>
      <w:r w:rsidRPr="005B3AE7">
        <w:rPr>
          <w:b/>
          <w:bCs/>
        </w:rPr>
        <w:t>above,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a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Business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Impact</w:t>
      </w:r>
      <w:r w:rsidRPr="005B3AE7">
        <w:rPr>
          <w:b/>
          <w:bCs/>
          <w:spacing w:val="-2"/>
        </w:rPr>
        <w:t xml:space="preserve"> </w:t>
      </w:r>
      <w:r w:rsidRPr="005B3AE7">
        <w:rPr>
          <w:b/>
          <w:bCs/>
        </w:rPr>
        <w:t>Estimate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is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</w:rPr>
        <w:t>not</w:t>
      </w:r>
      <w:r w:rsidRPr="005B3AE7">
        <w:rPr>
          <w:b/>
          <w:bCs/>
          <w:spacing w:val="-1"/>
        </w:rPr>
        <w:t xml:space="preserve"> </w:t>
      </w:r>
      <w:r w:rsidRPr="005B3AE7">
        <w:rPr>
          <w:b/>
          <w:bCs/>
          <w:spacing w:val="-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75DED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B6D33E1" w:rsidR="004B5E55" w:rsidRDefault="00C97B44" w:rsidP="005B3AE7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</w:t>
      </w:r>
    </w:p>
    <w:sectPr w:rsidR="004B5E55" w:rsidSect="00FE32DC">
      <w:pgSz w:w="12240" w:h="15840"/>
      <w:pgMar w:top="925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2543" w14:textId="77777777" w:rsidR="00FE32DC" w:rsidRDefault="00FE32DC" w:rsidP="00FE32DC">
      <w:r>
        <w:separator/>
      </w:r>
    </w:p>
  </w:endnote>
  <w:endnote w:type="continuationSeparator" w:id="0">
    <w:p w14:paraId="5074820D" w14:textId="77777777" w:rsidR="00FE32DC" w:rsidRDefault="00FE32DC" w:rsidP="00FE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8150" w14:textId="77777777" w:rsidR="00FE32DC" w:rsidRDefault="00FE32DC" w:rsidP="00FE32DC">
      <w:r>
        <w:separator/>
      </w:r>
    </w:p>
  </w:footnote>
  <w:footnote w:type="continuationSeparator" w:id="0">
    <w:p w14:paraId="1823B835" w14:textId="77777777" w:rsidR="00FE32DC" w:rsidRDefault="00FE32DC" w:rsidP="00FE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55"/>
    <w:rsid w:val="004B5E55"/>
    <w:rsid w:val="005B3AE7"/>
    <w:rsid w:val="00B1398D"/>
    <w:rsid w:val="00C97B44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2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2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2</cp:revision>
  <dcterms:created xsi:type="dcterms:W3CDTF">2023-11-27T22:28:00Z</dcterms:created>
  <dcterms:modified xsi:type="dcterms:W3CDTF">2023-11-27T22:28:00Z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