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DE2C" w14:textId="5C4C96D3" w:rsidR="00316CE6" w:rsidRPr="00BE5AFE" w:rsidRDefault="00316CE6" w:rsidP="00316CE6">
      <w:pPr>
        <w:jc w:val="center"/>
        <w:rPr>
          <w:b/>
          <w:bCs/>
          <w:sz w:val="24"/>
          <w:szCs w:val="24"/>
        </w:rPr>
      </w:pPr>
      <w:r w:rsidRPr="00A351C5">
        <w:rPr>
          <w:b/>
          <w:bCs/>
          <w:sz w:val="24"/>
          <w:szCs w:val="24"/>
        </w:rPr>
        <w:t xml:space="preserve">ORDINANCE NO. </w:t>
      </w:r>
      <w:r w:rsidR="0061556F" w:rsidRPr="00A351C5">
        <w:rPr>
          <w:b/>
          <w:bCs/>
          <w:sz w:val="24"/>
          <w:szCs w:val="24"/>
        </w:rPr>
        <w:t>20</w:t>
      </w:r>
      <w:r w:rsidR="00E30B19" w:rsidRPr="00A351C5">
        <w:rPr>
          <w:b/>
          <w:bCs/>
          <w:sz w:val="24"/>
          <w:szCs w:val="24"/>
        </w:rPr>
        <w:t>2</w:t>
      </w:r>
      <w:r w:rsidR="00F30E74">
        <w:rPr>
          <w:b/>
          <w:bCs/>
          <w:sz w:val="24"/>
          <w:szCs w:val="24"/>
        </w:rPr>
        <w:t>4</w:t>
      </w:r>
      <w:r w:rsidR="00E30B19" w:rsidRPr="00A351C5">
        <w:rPr>
          <w:b/>
          <w:bCs/>
          <w:sz w:val="24"/>
          <w:szCs w:val="24"/>
        </w:rPr>
        <w:t>-</w:t>
      </w:r>
      <w:r w:rsidR="00317AA6">
        <w:rPr>
          <w:b/>
          <w:bCs/>
          <w:sz w:val="24"/>
          <w:szCs w:val="24"/>
        </w:rPr>
        <w:t>0</w:t>
      </w:r>
      <w:r w:rsidR="00531E55">
        <w:rPr>
          <w:b/>
          <w:bCs/>
          <w:sz w:val="24"/>
          <w:szCs w:val="24"/>
        </w:rPr>
        <w:t>4</w:t>
      </w:r>
    </w:p>
    <w:p w14:paraId="2CB7ACC5" w14:textId="6BEADB85" w:rsidR="00100545" w:rsidRPr="00BE5AFE" w:rsidRDefault="00703CC0" w:rsidP="00316CE6">
      <w:pPr>
        <w:jc w:val="center"/>
        <w:rPr>
          <w:sz w:val="24"/>
          <w:szCs w:val="24"/>
        </w:rPr>
      </w:pPr>
      <w:r>
        <w:rPr>
          <w:sz w:val="24"/>
          <w:szCs w:val="24"/>
        </w:rPr>
        <w:t>CPA</w:t>
      </w:r>
      <w:r w:rsidR="00100545" w:rsidRPr="00BE5AFE">
        <w:rPr>
          <w:sz w:val="24"/>
          <w:szCs w:val="24"/>
        </w:rPr>
        <w:t xml:space="preserve"> </w:t>
      </w:r>
      <w:r w:rsidR="00E30B19" w:rsidRPr="00BE5AFE">
        <w:rPr>
          <w:sz w:val="24"/>
          <w:szCs w:val="24"/>
        </w:rPr>
        <w:t>2</w:t>
      </w:r>
      <w:r w:rsidR="00531E55">
        <w:rPr>
          <w:sz w:val="24"/>
          <w:szCs w:val="24"/>
        </w:rPr>
        <w:t>4</w:t>
      </w:r>
      <w:r w:rsidR="00E30B19" w:rsidRPr="00BE5AFE">
        <w:rPr>
          <w:sz w:val="24"/>
          <w:szCs w:val="24"/>
        </w:rPr>
        <w:t>-</w:t>
      </w:r>
      <w:r w:rsidR="00E41FEB">
        <w:rPr>
          <w:sz w:val="24"/>
          <w:szCs w:val="24"/>
        </w:rPr>
        <w:t>0</w:t>
      </w:r>
      <w:r w:rsidR="00531E55">
        <w:rPr>
          <w:sz w:val="24"/>
          <w:szCs w:val="24"/>
        </w:rPr>
        <w:t>2</w:t>
      </w:r>
    </w:p>
    <w:p w14:paraId="02624F47" w14:textId="77777777" w:rsidR="00BE5AFE" w:rsidRPr="00BE5AFE" w:rsidRDefault="00BE5AFE" w:rsidP="00BE5AFE">
      <w:pPr>
        <w:rPr>
          <w:b/>
          <w:sz w:val="24"/>
          <w:szCs w:val="24"/>
        </w:rPr>
      </w:pPr>
    </w:p>
    <w:p w14:paraId="4450BA2A" w14:textId="77777777" w:rsidR="00F30E74" w:rsidRPr="00F30E74" w:rsidRDefault="00F30E74" w:rsidP="00F30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right="720"/>
        <w:jc w:val="both"/>
        <w:rPr>
          <w:b/>
          <w:bCs/>
          <w:sz w:val="22"/>
          <w:szCs w:val="22"/>
        </w:rPr>
      </w:pPr>
      <w:r w:rsidRPr="00F30E74">
        <w:rPr>
          <w:b/>
          <w:bCs/>
          <w:sz w:val="22"/>
          <w:szCs w:val="22"/>
        </w:rPr>
        <w:t>AN ORDINANCE OF THE CITY OF NEWBERRY, FLORIDA, AMENDING ORDINANCE NO. 4-91, AS AMENDED, RELATING TO AN AMENDMENT TO THE FUTURE LAND USE PLAN MAP OF THE CITY OF NEWBERRY COMPREHENSIVE PLAN OF 29 ACRES OF LAND, UNDER THE SMALL SCALE DEVELOPMENT AMENDMENT PROCEDURES ESTABLISHED UNDER THE SMALL SCALE AMENDMENT PROVISIONS OF SECTION 163.3187, FLORIDA STATUTES, AS AMENDED; PROVIDING FOR A CHANGE IN LAND USE CLASSIFICATION FROM ALACHUA COUNTY RURAL/AGRICULTURE (LESS THAN OR EQUAL TO 1 DWELLING UNIT PER 5 ACRES) TO CITY OF NEWBERRY AGRICULTURE (LESS THAN OR EQUAL TO 1 DWELLING UNIT PER 5 ACRES), ON CERTAIN LANDS WITHIN THE CORPORATE LIMITS OF CITY OF NEWBERRY, FLORIDA; PARCEL NUMBERS  02579-005-000, 02579-006-000 AND 02579-007-000 CONSISTING OF APPROXIMATELY 29 CONTIGUOUS ACRES; PROVIDING SEVERABILITY; REPEALING ALL ORDINANCES IN CONFLICT; AND PROVIDING AN EFFECTIVE DATE.</w:t>
      </w:r>
    </w:p>
    <w:p w14:paraId="577B024F" w14:textId="77777777" w:rsidR="00DF1D16" w:rsidRPr="00184D59" w:rsidRDefault="00DF1D16" w:rsidP="00DF1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rPr>
          <w:sz w:val="22"/>
          <w:szCs w:val="22"/>
        </w:rPr>
      </w:pPr>
    </w:p>
    <w:p w14:paraId="4F439C20" w14:textId="17DE78AE" w:rsidR="00BE5AFE" w:rsidRPr="0050194B" w:rsidRDefault="008C2D5A" w:rsidP="000B440D">
      <w:pPr>
        <w:spacing w:after="240"/>
        <w:ind w:firstLine="720"/>
        <w:jc w:val="both"/>
        <w:rPr>
          <w:b/>
          <w:sz w:val="24"/>
          <w:szCs w:val="24"/>
        </w:rPr>
      </w:pPr>
      <w:r w:rsidRPr="0050194B">
        <w:rPr>
          <w:b/>
          <w:sz w:val="24"/>
          <w:szCs w:val="24"/>
        </w:rPr>
        <w:t>WHEREAS,</w:t>
      </w:r>
      <w:r w:rsidR="00BE5AFE" w:rsidRPr="0050194B">
        <w:rPr>
          <w:sz w:val="24"/>
          <w:szCs w:val="24"/>
        </w:rPr>
        <w:t xml:space="preserve"> Section 166.021, Florida Statutes, as amended, empowers the City Commission of the City of Newberry, Florida, hereinafter referred to as the City Commission, to prepare, adopt and enforce land development </w:t>
      </w:r>
      <w:proofErr w:type="gramStart"/>
      <w:r w:rsidR="00BE5AFE" w:rsidRPr="0050194B">
        <w:rPr>
          <w:sz w:val="24"/>
          <w:szCs w:val="24"/>
        </w:rPr>
        <w:t>regulations;</w:t>
      </w:r>
      <w:proofErr w:type="gramEnd"/>
      <w:r w:rsidR="00BE5AFE" w:rsidRPr="0050194B">
        <w:rPr>
          <w:sz w:val="24"/>
          <w:szCs w:val="24"/>
        </w:rPr>
        <w:t xml:space="preserve"> </w:t>
      </w:r>
    </w:p>
    <w:p w14:paraId="12E721FD" w14:textId="5279C46B" w:rsidR="00703CC0" w:rsidRPr="00703CC0" w:rsidRDefault="00703CC0" w:rsidP="000B440D">
      <w:pPr>
        <w:spacing w:after="240"/>
        <w:ind w:firstLine="720"/>
        <w:jc w:val="both"/>
        <w:rPr>
          <w:b/>
          <w:sz w:val="24"/>
          <w:szCs w:val="24"/>
        </w:rPr>
      </w:pPr>
      <w:r w:rsidRPr="00703CC0">
        <w:rPr>
          <w:b/>
          <w:sz w:val="24"/>
          <w:szCs w:val="24"/>
        </w:rPr>
        <w:t xml:space="preserve">WHEREAS, </w:t>
      </w:r>
      <w:r w:rsidRPr="00703CC0">
        <w:rPr>
          <w:bCs/>
          <w:sz w:val="24"/>
          <w:szCs w:val="24"/>
        </w:rPr>
        <w:t xml:space="preserve">Section 166.021, Florida Statutes, empowers the City Commission of the City of Newberry, Florida, hereinafter referred to as the City Commission, to prepare, adopt and implement a Comprehensive </w:t>
      </w:r>
      <w:proofErr w:type="gramStart"/>
      <w:r w:rsidRPr="00703CC0">
        <w:rPr>
          <w:bCs/>
          <w:sz w:val="24"/>
          <w:szCs w:val="24"/>
        </w:rPr>
        <w:t>Plan;</w:t>
      </w:r>
      <w:proofErr w:type="gramEnd"/>
      <w:r w:rsidRPr="00703CC0">
        <w:rPr>
          <w:b/>
          <w:sz w:val="24"/>
          <w:szCs w:val="24"/>
        </w:rPr>
        <w:t xml:space="preserve"> </w:t>
      </w:r>
    </w:p>
    <w:p w14:paraId="480F9A50" w14:textId="77777777" w:rsidR="00703CC0" w:rsidRPr="00703CC0" w:rsidRDefault="00703CC0" w:rsidP="000B440D">
      <w:pPr>
        <w:spacing w:after="240"/>
        <w:ind w:firstLine="720"/>
        <w:jc w:val="both"/>
        <w:rPr>
          <w:bCs/>
          <w:sz w:val="24"/>
          <w:szCs w:val="24"/>
        </w:rPr>
      </w:pPr>
      <w:proofErr w:type="gramStart"/>
      <w:r w:rsidRPr="00703CC0">
        <w:rPr>
          <w:b/>
          <w:sz w:val="24"/>
          <w:szCs w:val="24"/>
        </w:rPr>
        <w:t>WHEREAS,</w:t>
      </w:r>
      <w:proofErr w:type="gramEnd"/>
      <w:r w:rsidRPr="00703CC0">
        <w:rPr>
          <w:b/>
          <w:sz w:val="24"/>
          <w:szCs w:val="24"/>
        </w:rPr>
        <w:t xml:space="preserve"> </w:t>
      </w:r>
      <w:r w:rsidRPr="00703CC0">
        <w:rPr>
          <w:bCs/>
          <w:sz w:val="24"/>
          <w:szCs w:val="24"/>
        </w:rPr>
        <w:t xml:space="preserve">Sections 163.3161 through 163.3215, Florida Statutes, the Local Government Comprehensive Planning and Land Development Regulation Act, empowers and requires the City Commission to prepare, adopt and implement a Comprehensive Plan; </w:t>
      </w:r>
    </w:p>
    <w:p w14:paraId="199FB9C5" w14:textId="53162F18" w:rsidR="00703CC0" w:rsidRPr="00703CC0" w:rsidRDefault="00703CC0" w:rsidP="000B440D">
      <w:pPr>
        <w:spacing w:after="240"/>
        <w:ind w:firstLine="720"/>
        <w:jc w:val="both"/>
        <w:rPr>
          <w:bCs/>
          <w:sz w:val="24"/>
          <w:szCs w:val="24"/>
        </w:rPr>
      </w:pPr>
      <w:r w:rsidRPr="00703CC0">
        <w:rPr>
          <w:b/>
          <w:sz w:val="24"/>
          <w:szCs w:val="24"/>
        </w:rPr>
        <w:t xml:space="preserve">WHEREAS, </w:t>
      </w:r>
      <w:r w:rsidRPr="00703CC0">
        <w:rPr>
          <w:bCs/>
          <w:sz w:val="24"/>
          <w:szCs w:val="24"/>
        </w:rPr>
        <w:t xml:space="preserve">an application, </w:t>
      </w:r>
      <w:bookmarkStart w:id="0" w:name="A1"/>
      <w:r w:rsidRPr="00703CC0">
        <w:rPr>
          <w:b/>
          <w:sz w:val="24"/>
          <w:szCs w:val="24"/>
        </w:rPr>
        <w:t xml:space="preserve">CPA </w:t>
      </w:r>
      <w:bookmarkEnd w:id="0"/>
      <w:r w:rsidRPr="00703CC0">
        <w:rPr>
          <w:b/>
          <w:sz w:val="24"/>
          <w:szCs w:val="24"/>
        </w:rPr>
        <w:t>2</w:t>
      </w:r>
      <w:r w:rsidR="00416781">
        <w:rPr>
          <w:b/>
          <w:sz w:val="24"/>
          <w:szCs w:val="24"/>
        </w:rPr>
        <w:t>4</w:t>
      </w:r>
      <w:r w:rsidRPr="00703CC0">
        <w:rPr>
          <w:b/>
          <w:sz w:val="24"/>
          <w:szCs w:val="24"/>
        </w:rPr>
        <w:t>-</w:t>
      </w:r>
      <w:r w:rsidR="00E41FEB">
        <w:rPr>
          <w:b/>
          <w:sz w:val="24"/>
          <w:szCs w:val="24"/>
        </w:rPr>
        <w:t>0</w:t>
      </w:r>
      <w:r w:rsidR="00416781">
        <w:rPr>
          <w:b/>
          <w:sz w:val="24"/>
          <w:szCs w:val="24"/>
        </w:rPr>
        <w:t>2</w:t>
      </w:r>
      <w:r w:rsidRPr="00703CC0">
        <w:rPr>
          <w:bCs/>
          <w:sz w:val="24"/>
          <w:szCs w:val="24"/>
        </w:rPr>
        <w:t xml:space="preserve">, for an amendment, as described below, to the Future Land Use Plan Map of the City of Newberry Comprehensive Plan, hereinafter referred to as the City's Comprehensive Plan has been filed with the </w:t>
      </w:r>
      <w:proofErr w:type="gramStart"/>
      <w:r w:rsidRPr="00703CC0">
        <w:rPr>
          <w:bCs/>
          <w:sz w:val="24"/>
          <w:szCs w:val="24"/>
        </w:rPr>
        <w:t>City;</w:t>
      </w:r>
      <w:proofErr w:type="gramEnd"/>
      <w:r w:rsidRPr="00703CC0">
        <w:rPr>
          <w:bCs/>
          <w:sz w:val="24"/>
          <w:szCs w:val="24"/>
        </w:rPr>
        <w:t xml:space="preserve"> </w:t>
      </w:r>
    </w:p>
    <w:p w14:paraId="1FA671B7" w14:textId="24809343" w:rsidR="00703CC0" w:rsidRPr="00703CC0" w:rsidRDefault="00703CC0" w:rsidP="000B440D">
      <w:pPr>
        <w:spacing w:after="240"/>
        <w:ind w:firstLine="720"/>
        <w:jc w:val="both"/>
        <w:rPr>
          <w:bCs/>
          <w:sz w:val="24"/>
          <w:szCs w:val="24"/>
        </w:rPr>
      </w:pPr>
      <w:r w:rsidRPr="00703CC0">
        <w:rPr>
          <w:b/>
          <w:sz w:val="24"/>
          <w:szCs w:val="24"/>
        </w:rPr>
        <w:t xml:space="preserve">WHEREAS, </w:t>
      </w:r>
      <w:r w:rsidRPr="00703CC0">
        <w:rPr>
          <w:bCs/>
          <w:sz w:val="24"/>
          <w:szCs w:val="24"/>
        </w:rPr>
        <w:t xml:space="preserve">the Planning and Zoning Board of the City of Newberry, Florida, hereinafter referred to as the Planning and Zoning Board, has been designated as the City of Newberry Local Planning Agency, hereinafter referred to as the Local Planning </w:t>
      </w:r>
      <w:proofErr w:type="gramStart"/>
      <w:r w:rsidRPr="00703CC0">
        <w:rPr>
          <w:bCs/>
          <w:sz w:val="24"/>
          <w:szCs w:val="24"/>
        </w:rPr>
        <w:t>Agency;</w:t>
      </w:r>
      <w:proofErr w:type="gramEnd"/>
      <w:r w:rsidRPr="00703CC0">
        <w:rPr>
          <w:bCs/>
          <w:sz w:val="24"/>
          <w:szCs w:val="24"/>
        </w:rPr>
        <w:t xml:space="preserve"> </w:t>
      </w:r>
    </w:p>
    <w:p w14:paraId="4F654755" w14:textId="439D64D4" w:rsidR="00703CC0" w:rsidRDefault="00703CC0" w:rsidP="000B440D">
      <w:pPr>
        <w:spacing w:after="240"/>
        <w:ind w:firstLine="720"/>
        <w:jc w:val="both"/>
        <w:rPr>
          <w:bCs/>
          <w:sz w:val="24"/>
          <w:szCs w:val="24"/>
        </w:rPr>
      </w:pPr>
      <w:r w:rsidRPr="00703CC0">
        <w:rPr>
          <w:b/>
          <w:sz w:val="24"/>
          <w:szCs w:val="24"/>
        </w:rPr>
        <w:t xml:space="preserve">WHEREAS, </w:t>
      </w:r>
      <w:r w:rsidRPr="00076B6D">
        <w:rPr>
          <w:bCs/>
          <w:sz w:val="24"/>
          <w:szCs w:val="24"/>
        </w:rPr>
        <w:t>pursuant to Section 163.3174, Florida Statutes, and Ordinance No. 9-92, as amended, entitled City of Newberry Land Development Regulations, hereinafter referred to as the City's Land Development Regulations, the Planning and Zoning Board, serving also as the Local Planning Agency, held the required public hearing, with public notice having been provided, on said application for an amendment, as described below, to the Future Land Use Plan Map of the City's Comprehensive Plan and at said public hearing, the Planning and Zoning Board, serving also as the Local Planning Agency, reviewed and considered all comments</w:t>
      </w:r>
      <w:r w:rsidRPr="00703CC0">
        <w:rPr>
          <w:b/>
          <w:sz w:val="24"/>
          <w:szCs w:val="24"/>
        </w:rPr>
        <w:t xml:space="preserve"> </w:t>
      </w:r>
      <w:r w:rsidRPr="00076B6D">
        <w:rPr>
          <w:bCs/>
          <w:sz w:val="24"/>
          <w:szCs w:val="24"/>
        </w:rPr>
        <w:t xml:space="preserve">received during said public hearing concerning said application for an amendment, as described below, to the Future </w:t>
      </w:r>
      <w:r w:rsidRPr="00076B6D">
        <w:rPr>
          <w:bCs/>
          <w:sz w:val="24"/>
          <w:szCs w:val="24"/>
        </w:rPr>
        <w:lastRenderedPageBreak/>
        <w:t xml:space="preserve">Land Use Plan Map of the City's Comprehensive Plan and recommended to the City Commission approval of said application for amendment, as described below, to the Future Land Use Plan Map of the City's Comprehensive Plan; </w:t>
      </w:r>
    </w:p>
    <w:p w14:paraId="0831F9C0" w14:textId="4DBA208D" w:rsidR="002F00FC" w:rsidRDefault="002F00FC" w:rsidP="000B440D">
      <w:pPr>
        <w:spacing w:after="200"/>
        <w:ind w:firstLine="720"/>
        <w:jc w:val="both"/>
        <w:rPr>
          <w:bCs/>
          <w:sz w:val="24"/>
          <w:szCs w:val="24"/>
        </w:rPr>
      </w:pPr>
      <w:r w:rsidRPr="002F00FC">
        <w:rPr>
          <w:b/>
          <w:bCs/>
          <w:sz w:val="23"/>
          <w:szCs w:val="23"/>
        </w:rPr>
        <w:t>WHEREAS</w:t>
      </w:r>
      <w:r w:rsidRPr="002F00FC">
        <w:rPr>
          <w:bCs/>
          <w:sz w:val="24"/>
          <w:szCs w:val="24"/>
        </w:rPr>
        <w:t>,</w:t>
      </w:r>
      <w:r w:rsidRPr="00FE0CDC">
        <w:rPr>
          <w:sz w:val="22"/>
          <w:szCs w:val="22"/>
        </w:rPr>
        <w:t xml:space="preserve"> </w:t>
      </w:r>
      <w:r w:rsidRPr="002F00FC">
        <w:rPr>
          <w:bCs/>
          <w:sz w:val="24"/>
          <w:szCs w:val="24"/>
        </w:rPr>
        <w:t xml:space="preserve">in conformance with the small scale amendment provisions established within Chapter 163, Part II, Florida Statutes, the City Commission held an adoption public hearing, with public notice having been provided, pursuant to the procedures established in Chapter 163, Part II, Florida Statutes, as amended, on said application for an amendment, as described below, and at said public hearings, the City Commission reviewed and considered all comments received during the public hearing, including the recommendation of the Planning and Zoning Board, serving also as the Local Planning Agency, and the Concurrency Management Assessment concerning said application for an amendment, as described below;    </w:t>
      </w:r>
    </w:p>
    <w:p w14:paraId="7E9DC2B0" w14:textId="77777777" w:rsidR="00CE410D" w:rsidRPr="007F287C" w:rsidRDefault="00CE410D" w:rsidP="000B440D">
      <w:pPr>
        <w:keepNext/>
        <w:keepLines/>
        <w:widowControl w:val="0"/>
        <w:ind w:firstLine="720"/>
        <w:jc w:val="both"/>
        <w:rPr>
          <w:sz w:val="23"/>
          <w:szCs w:val="23"/>
        </w:rPr>
      </w:pPr>
      <w:r w:rsidRPr="00426027">
        <w:rPr>
          <w:b/>
          <w:bCs/>
          <w:sz w:val="23"/>
          <w:szCs w:val="23"/>
        </w:rPr>
        <w:t>WHEREAS,</w:t>
      </w:r>
      <w:r w:rsidRPr="007F287C">
        <w:rPr>
          <w:sz w:val="23"/>
          <w:szCs w:val="23"/>
        </w:rPr>
        <w:t xml:space="preserve"> the City Commission held two public hearings, with public notice having been provided, under the provisions of the regular amendment public hearing procedures established in Sections 163.3161 to 163.3215, Florida Statutes, on said application for amendment, as described below, to the Future Land Use Plan Map of the City's Comprehensive Plan and at said public hearings, the City Commission reviewed and considered all comments received during said public hearings, including the recommendation of the Planning and Zoning Board, serving als</w:t>
      </w:r>
      <w:r>
        <w:rPr>
          <w:sz w:val="23"/>
          <w:szCs w:val="23"/>
        </w:rPr>
        <w:t>o as the Local Planning Agency;</w:t>
      </w:r>
    </w:p>
    <w:p w14:paraId="0542CAC9" w14:textId="77777777" w:rsidR="00CE410D" w:rsidRPr="007F287C" w:rsidRDefault="00CE410D" w:rsidP="000B440D">
      <w:pPr>
        <w:jc w:val="both"/>
        <w:rPr>
          <w:sz w:val="23"/>
          <w:szCs w:val="23"/>
        </w:rPr>
      </w:pPr>
    </w:p>
    <w:p w14:paraId="6E6A2369" w14:textId="77777777" w:rsidR="00CE410D" w:rsidRPr="007F287C" w:rsidRDefault="00CE410D" w:rsidP="000B440D">
      <w:pPr>
        <w:jc w:val="both"/>
        <w:rPr>
          <w:sz w:val="23"/>
          <w:szCs w:val="23"/>
        </w:rPr>
      </w:pPr>
      <w:r w:rsidRPr="007F287C">
        <w:rPr>
          <w:b/>
          <w:bCs/>
          <w:sz w:val="23"/>
          <w:szCs w:val="23"/>
        </w:rPr>
        <w:tab/>
      </w:r>
      <w:r w:rsidRPr="00426027">
        <w:rPr>
          <w:b/>
          <w:bCs/>
          <w:sz w:val="23"/>
          <w:szCs w:val="23"/>
        </w:rPr>
        <w:t>WHEREAS,</w:t>
      </w:r>
      <w:r w:rsidRPr="007F287C">
        <w:rPr>
          <w:sz w:val="23"/>
          <w:szCs w:val="23"/>
        </w:rPr>
        <w:t xml:space="preserve"> the City Commission, found said application for an amendment, as described below, to the Future Land Use Plan Map of the City’s Comprehensive Plan to be compatible with the Land Use Element objectives and policies, and those of other affected elements of the City’s Comprehensive Plan; and</w:t>
      </w:r>
    </w:p>
    <w:p w14:paraId="78DD5B4B" w14:textId="77777777" w:rsidR="00CE410D" w:rsidRPr="007F287C" w:rsidRDefault="00CE410D" w:rsidP="000B440D">
      <w:pPr>
        <w:jc w:val="both"/>
        <w:rPr>
          <w:sz w:val="23"/>
          <w:szCs w:val="23"/>
        </w:rPr>
      </w:pPr>
    </w:p>
    <w:p w14:paraId="5F0438AA" w14:textId="77777777" w:rsidR="00CE410D" w:rsidRPr="007F287C" w:rsidRDefault="00CE410D" w:rsidP="000B440D">
      <w:pPr>
        <w:ind w:firstLine="720"/>
        <w:jc w:val="both"/>
        <w:rPr>
          <w:sz w:val="22"/>
          <w:szCs w:val="22"/>
        </w:rPr>
      </w:pPr>
      <w:r w:rsidRPr="00426027">
        <w:rPr>
          <w:b/>
          <w:bCs/>
          <w:sz w:val="22"/>
          <w:szCs w:val="22"/>
        </w:rPr>
        <w:t>WHEREAS,</w:t>
      </w:r>
      <w:r w:rsidRPr="007F287C">
        <w:rPr>
          <w:sz w:val="22"/>
          <w:szCs w:val="22"/>
        </w:rPr>
        <w:t xml:space="preserve"> the City Commission, found, subsequent to </w:t>
      </w:r>
      <w:r>
        <w:rPr>
          <w:sz w:val="22"/>
          <w:szCs w:val="22"/>
        </w:rPr>
        <w:t xml:space="preserve">the </w:t>
      </w:r>
      <w:r w:rsidRPr="007F287C">
        <w:rPr>
          <w:sz w:val="22"/>
          <w:szCs w:val="22"/>
        </w:rPr>
        <w:t xml:space="preserve">expedited </w:t>
      </w:r>
      <w:r>
        <w:rPr>
          <w:sz w:val="22"/>
          <w:szCs w:val="22"/>
        </w:rPr>
        <w:t xml:space="preserve">submittal to </w:t>
      </w:r>
      <w:r w:rsidRPr="007F287C">
        <w:rPr>
          <w:sz w:val="22"/>
          <w:szCs w:val="22"/>
        </w:rPr>
        <w:t xml:space="preserve">the Florida Department of Economic Opportunity </w:t>
      </w:r>
      <w:r>
        <w:rPr>
          <w:sz w:val="22"/>
          <w:szCs w:val="22"/>
        </w:rPr>
        <w:t xml:space="preserve">pursuant to the Expedited State Review Process provided in Section 163.3184 (3), Florida Statutes, </w:t>
      </w:r>
      <w:r w:rsidRPr="007F287C">
        <w:rPr>
          <w:sz w:val="22"/>
          <w:szCs w:val="22"/>
        </w:rPr>
        <w:t>no objections</w:t>
      </w:r>
      <w:r>
        <w:rPr>
          <w:sz w:val="22"/>
          <w:szCs w:val="22"/>
        </w:rPr>
        <w:t>,</w:t>
      </w:r>
      <w:r w:rsidRPr="007F287C">
        <w:rPr>
          <w:sz w:val="22"/>
          <w:szCs w:val="22"/>
        </w:rPr>
        <w:t xml:space="preserve"> recommendations or comments were submitted by said Department and that said application for an amendment, as described below, to the Future Land Use Element of the City’s Comprehensive Plan </w:t>
      </w:r>
      <w:r>
        <w:rPr>
          <w:sz w:val="22"/>
          <w:szCs w:val="22"/>
        </w:rPr>
        <w:t xml:space="preserve">was </w:t>
      </w:r>
      <w:r w:rsidRPr="007F287C">
        <w:rPr>
          <w:sz w:val="22"/>
          <w:szCs w:val="22"/>
        </w:rPr>
        <w:t>found by the State Land Planning Agency to be compatible with the other affected elements of the City’s Comprehensive Plan; and</w:t>
      </w:r>
    </w:p>
    <w:p w14:paraId="3FFECBAB" w14:textId="77777777" w:rsidR="00CE410D" w:rsidRPr="00426027" w:rsidRDefault="00CE410D" w:rsidP="000B440D">
      <w:pPr>
        <w:jc w:val="both"/>
        <w:rPr>
          <w:b/>
          <w:bCs/>
          <w:sz w:val="23"/>
          <w:szCs w:val="23"/>
        </w:rPr>
      </w:pPr>
    </w:p>
    <w:p w14:paraId="2CD826E7" w14:textId="77777777" w:rsidR="00CE410D" w:rsidRDefault="00CE410D" w:rsidP="000B440D">
      <w:pPr>
        <w:jc w:val="both"/>
        <w:rPr>
          <w:sz w:val="23"/>
          <w:szCs w:val="23"/>
        </w:rPr>
      </w:pPr>
      <w:r w:rsidRPr="00426027">
        <w:rPr>
          <w:b/>
          <w:bCs/>
          <w:sz w:val="23"/>
          <w:szCs w:val="23"/>
        </w:rPr>
        <w:tab/>
        <w:t>WHEREAS,</w:t>
      </w:r>
      <w:r w:rsidRPr="007F287C">
        <w:rPr>
          <w:sz w:val="23"/>
          <w:szCs w:val="23"/>
        </w:rPr>
        <w:t xml:space="preserve"> the City Commission, has determined and found that approval of an application for amendment to the Future Land Use Plan Map of the City’s Comprehensive Plan, would promote the public health, safety, morals, order, comfort, convenience, appearance, </w:t>
      </w:r>
      <w:proofErr w:type="gramStart"/>
      <w:r w:rsidRPr="007F287C">
        <w:rPr>
          <w:sz w:val="23"/>
          <w:szCs w:val="23"/>
        </w:rPr>
        <w:t>prosperity</w:t>
      </w:r>
      <w:proofErr w:type="gramEnd"/>
      <w:r w:rsidRPr="007F287C">
        <w:rPr>
          <w:sz w:val="23"/>
          <w:szCs w:val="23"/>
        </w:rPr>
        <w:t xml:space="preserve"> or general welfare.</w:t>
      </w:r>
    </w:p>
    <w:p w14:paraId="554F9779" w14:textId="4991FC50" w:rsidR="00703CC0" w:rsidRPr="00076B6D" w:rsidRDefault="00703CC0" w:rsidP="000B440D">
      <w:pPr>
        <w:spacing w:after="240"/>
        <w:ind w:firstLine="720"/>
        <w:jc w:val="both"/>
        <w:rPr>
          <w:b/>
          <w:bCs/>
          <w:sz w:val="24"/>
          <w:szCs w:val="24"/>
        </w:rPr>
      </w:pPr>
      <w:r w:rsidRPr="00076B6D">
        <w:rPr>
          <w:b/>
          <w:bCs/>
          <w:sz w:val="24"/>
          <w:szCs w:val="24"/>
        </w:rPr>
        <w:t>NOW, THEREFORE, BE IT ORDAINED BY THE PEOPLE OF THE CITY OF NEWBERRY, FLORIDA, AS FOLLOWS:</w:t>
      </w:r>
    </w:p>
    <w:p w14:paraId="6972E8C7" w14:textId="30C7AA2E" w:rsidR="00703CC0" w:rsidRDefault="00703CC0" w:rsidP="000B440D">
      <w:pPr>
        <w:spacing w:after="200"/>
        <w:ind w:firstLine="720"/>
        <w:jc w:val="both"/>
        <w:rPr>
          <w:sz w:val="22"/>
          <w:szCs w:val="22"/>
        </w:rPr>
      </w:pPr>
      <w:r w:rsidRPr="00B12FB1">
        <w:rPr>
          <w:b/>
          <w:bCs/>
          <w:sz w:val="22"/>
          <w:szCs w:val="22"/>
          <w:u w:val="single"/>
        </w:rPr>
        <w:t>Section 1.</w:t>
      </w:r>
      <w:r w:rsidRPr="00B12FB1">
        <w:rPr>
          <w:b/>
          <w:bCs/>
          <w:sz w:val="22"/>
          <w:szCs w:val="22"/>
        </w:rPr>
        <w:t xml:space="preserve"> Future Land Use Map Amended.</w:t>
      </w:r>
      <w:r w:rsidRPr="00FE0CDC">
        <w:rPr>
          <w:sz w:val="22"/>
          <w:szCs w:val="22"/>
        </w:rPr>
        <w:t xml:space="preserve"> Pursuant to an application, </w:t>
      </w:r>
      <w:bookmarkStart w:id="1" w:name="A2"/>
      <w:r w:rsidRPr="004535BB">
        <w:rPr>
          <w:b/>
          <w:sz w:val="22"/>
          <w:szCs w:val="22"/>
        </w:rPr>
        <w:t xml:space="preserve">CPA </w:t>
      </w:r>
      <w:bookmarkEnd w:id="1"/>
      <w:r>
        <w:rPr>
          <w:b/>
          <w:sz w:val="22"/>
          <w:szCs w:val="22"/>
        </w:rPr>
        <w:t>2</w:t>
      </w:r>
      <w:r w:rsidR="00416781">
        <w:rPr>
          <w:b/>
          <w:sz w:val="22"/>
          <w:szCs w:val="22"/>
        </w:rPr>
        <w:t>4</w:t>
      </w:r>
      <w:r>
        <w:rPr>
          <w:b/>
          <w:sz w:val="22"/>
          <w:szCs w:val="22"/>
        </w:rPr>
        <w:t>-</w:t>
      </w:r>
      <w:r w:rsidR="00E41FEB">
        <w:rPr>
          <w:b/>
          <w:sz w:val="22"/>
          <w:szCs w:val="22"/>
        </w:rPr>
        <w:t>0</w:t>
      </w:r>
      <w:r w:rsidR="00416781">
        <w:rPr>
          <w:b/>
          <w:sz w:val="22"/>
          <w:szCs w:val="22"/>
        </w:rPr>
        <w:t>2</w:t>
      </w:r>
      <w:r w:rsidRPr="003E5DEC">
        <w:rPr>
          <w:sz w:val="22"/>
          <w:szCs w:val="22"/>
        </w:rPr>
        <w:t xml:space="preserve">, </w:t>
      </w:r>
      <w:bookmarkStart w:id="2" w:name="A7"/>
      <w:r w:rsidRPr="00F13DBF">
        <w:rPr>
          <w:sz w:val="22"/>
          <w:szCs w:val="22"/>
        </w:rPr>
        <w:t xml:space="preserve">by the City of Newberry to amend the Future Land Use Plan Map of the Comprehensive Plan by changing the </w:t>
      </w:r>
      <w:r>
        <w:rPr>
          <w:sz w:val="22"/>
          <w:szCs w:val="22"/>
        </w:rPr>
        <w:t xml:space="preserve">future </w:t>
      </w:r>
      <w:r w:rsidRPr="00F13DBF">
        <w:rPr>
          <w:sz w:val="22"/>
          <w:szCs w:val="22"/>
        </w:rPr>
        <w:t>land use o</w:t>
      </w:r>
      <w:r>
        <w:rPr>
          <w:sz w:val="22"/>
          <w:szCs w:val="22"/>
        </w:rPr>
        <w:t xml:space="preserve">f certain lands </w:t>
      </w:r>
      <w:r w:rsidRPr="00F13DBF">
        <w:rPr>
          <w:sz w:val="22"/>
          <w:szCs w:val="22"/>
        </w:rPr>
        <w:t>previously voluntarily annexed to the City</w:t>
      </w:r>
      <w:r>
        <w:rPr>
          <w:sz w:val="22"/>
          <w:szCs w:val="22"/>
        </w:rPr>
        <w:t xml:space="preserve">, the </w:t>
      </w:r>
      <w:r w:rsidR="00022497" w:rsidRPr="00022497">
        <w:rPr>
          <w:sz w:val="22"/>
          <w:szCs w:val="22"/>
        </w:rPr>
        <w:t>f</w:t>
      </w:r>
      <w:r w:rsidRPr="00022497">
        <w:rPr>
          <w:sz w:val="22"/>
          <w:szCs w:val="22"/>
        </w:rPr>
        <w:t xml:space="preserve">uture </w:t>
      </w:r>
      <w:r w:rsidR="00022497">
        <w:rPr>
          <w:sz w:val="22"/>
          <w:szCs w:val="22"/>
        </w:rPr>
        <w:t>l</w:t>
      </w:r>
      <w:r w:rsidRPr="00022497">
        <w:rPr>
          <w:sz w:val="22"/>
          <w:szCs w:val="22"/>
        </w:rPr>
        <w:t xml:space="preserve">and </w:t>
      </w:r>
      <w:r w:rsidR="00022497">
        <w:rPr>
          <w:sz w:val="22"/>
          <w:szCs w:val="22"/>
        </w:rPr>
        <w:t>u</w:t>
      </w:r>
      <w:r w:rsidRPr="00022497">
        <w:rPr>
          <w:sz w:val="22"/>
          <w:szCs w:val="22"/>
        </w:rPr>
        <w:t xml:space="preserve">se classification is hereby changed from </w:t>
      </w:r>
      <w:r w:rsidRPr="0065034D">
        <w:rPr>
          <w:b/>
          <w:bCs/>
          <w:sz w:val="22"/>
          <w:szCs w:val="22"/>
        </w:rPr>
        <w:t>ALACHUA COUNTY RURAL/AGRICULTURE to CITY OF NEWBERRY AGRICULTURE</w:t>
      </w:r>
      <w:r>
        <w:rPr>
          <w:sz w:val="22"/>
          <w:szCs w:val="22"/>
        </w:rPr>
        <w:t xml:space="preserve">, </w:t>
      </w:r>
      <w:r w:rsidRPr="003E5DEC">
        <w:rPr>
          <w:sz w:val="22"/>
          <w:szCs w:val="22"/>
        </w:rPr>
        <w:t>on propert</w:t>
      </w:r>
      <w:r>
        <w:rPr>
          <w:sz w:val="22"/>
          <w:szCs w:val="22"/>
        </w:rPr>
        <w:t xml:space="preserve">y </w:t>
      </w:r>
      <w:r w:rsidRPr="003E5DEC">
        <w:rPr>
          <w:sz w:val="22"/>
          <w:szCs w:val="22"/>
        </w:rPr>
        <w:t>more particularly described as follows</w:t>
      </w:r>
      <w:bookmarkEnd w:id="2"/>
      <w:r w:rsidRPr="003E5DEC">
        <w:rPr>
          <w:sz w:val="22"/>
          <w:szCs w:val="22"/>
        </w:rPr>
        <w:t>:</w:t>
      </w:r>
    </w:p>
    <w:p w14:paraId="6724DF5E" w14:textId="413AA3E0" w:rsidR="00347A19" w:rsidRPr="00022497" w:rsidRDefault="00022497" w:rsidP="000B440D">
      <w:pPr>
        <w:spacing w:after="200"/>
        <w:jc w:val="both"/>
        <w:rPr>
          <w:b/>
          <w:bCs/>
          <w:sz w:val="22"/>
          <w:szCs w:val="22"/>
        </w:rPr>
      </w:pPr>
      <w:r>
        <w:rPr>
          <w:b/>
          <w:bCs/>
          <w:sz w:val="22"/>
          <w:szCs w:val="22"/>
        </w:rPr>
        <w:t>Two</w:t>
      </w:r>
      <w:r w:rsidR="00347A19" w:rsidRPr="00022497">
        <w:rPr>
          <w:b/>
          <w:bCs/>
          <w:sz w:val="22"/>
          <w:szCs w:val="22"/>
        </w:rPr>
        <w:t xml:space="preserve"> </w:t>
      </w:r>
      <w:r>
        <w:rPr>
          <w:b/>
          <w:bCs/>
          <w:sz w:val="22"/>
          <w:szCs w:val="22"/>
        </w:rPr>
        <w:t>p</w:t>
      </w:r>
      <w:r w:rsidR="00347A19" w:rsidRPr="00022497">
        <w:rPr>
          <w:b/>
          <w:bCs/>
          <w:sz w:val="22"/>
          <w:szCs w:val="22"/>
        </w:rPr>
        <w:t>arcel</w:t>
      </w:r>
      <w:r>
        <w:rPr>
          <w:b/>
          <w:bCs/>
          <w:sz w:val="22"/>
          <w:szCs w:val="22"/>
        </w:rPr>
        <w:t>s</w:t>
      </w:r>
      <w:r w:rsidR="00347A19" w:rsidRPr="00022497">
        <w:rPr>
          <w:b/>
          <w:bCs/>
          <w:sz w:val="22"/>
          <w:szCs w:val="22"/>
        </w:rPr>
        <w:t xml:space="preserve"> totaling </w:t>
      </w:r>
      <w:r w:rsidR="00E41FEB" w:rsidRPr="00022497">
        <w:rPr>
          <w:b/>
          <w:bCs/>
          <w:color w:val="000000"/>
        </w:rPr>
        <w:t>±</w:t>
      </w:r>
      <w:r w:rsidR="00416781">
        <w:rPr>
          <w:b/>
          <w:bCs/>
          <w:sz w:val="22"/>
          <w:szCs w:val="22"/>
        </w:rPr>
        <w:t>29</w:t>
      </w:r>
      <w:r w:rsidR="00FF0C4F" w:rsidRPr="00022497">
        <w:rPr>
          <w:b/>
          <w:bCs/>
          <w:sz w:val="22"/>
          <w:szCs w:val="22"/>
        </w:rPr>
        <w:t>.</w:t>
      </w:r>
      <w:r w:rsidR="00E41FEB">
        <w:rPr>
          <w:b/>
          <w:bCs/>
          <w:sz w:val="22"/>
          <w:szCs w:val="22"/>
        </w:rPr>
        <w:t>00</w:t>
      </w:r>
      <w:r w:rsidR="000A4015" w:rsidRPr="00022497">
        <w:rPr>
          <w:b/>
          <w:bCs/>
          <w:sz w:val="22"/>
          <w:szCs w:val="22"/>
        </w:rPr>
        <w:t xml:space="preserve"> </w:t>
      </w:r>
      <w:r w:rsidR="00E41FEB">
        <w:rPr>
          <w:b/>
          <w:bCs/>
          <w:sz w:val="22"/>
          <w:szCs w:val="22"/>
        </w:rPr>
        <w:t>a</w:t>
      </w:r>
      <w:r w:rsidR="00347A19" w:rsidRPr="00022497">
        <w:rPr>
          <w:b/>
          <w:bCs/>
          <w:sz w:val="22"/>
          <w:szCs w:val="22"/>
        </w:rPr>
        <w:t>cres</w:t>
      </w:r>
    </w:p>
    <w:p w14:paraId="75B142CE" w14:textId="19BD1A3C" w:rsidR="00C94332" w:rsidRPr="00022497" w:rsidRDefault="00466D8F" w:rsidP="000B440D">
      <w:pPr>
        <w:jc w:val="both"/>
        <w:rPr>
          <w:b/>
          <w:bCs/>
          <w:snapToGrid w:val="0"/>
          <w:color w:val="000000"/>
          <w:sz w:val="24"/>
        </w:rPr>
      </w:pPr>
      <w:bookmarkStart w:id="3" w:name="_Hlk90455303"/>
      <w:r w:rsidRPr="00022497">
        <w:rPr>
          <w:b/>
          <w:bCs/>
          <w:snapToGrid w:val="0"/>
          <w:color w:val="000000"/>
          <w:sz w:val="24"/>
        </w:rPr>
        <w:t>Alachua County Parcel Number</w:t>
      </w:r>
      <w:r w:rsidR="00416781">
        <w:rPr>
          <w:b/>
          <w:bCs/>
          <w:snapToGrid w:val="0"/>
          <w:color w:val="000000"/>
          <w:sz w:val="24"/>
        </w:rPr>
        <w:t>s</w:t>
      </w:r>
      <w:r w:rsidR="00C94332" w:rsidRPr="00022497">
        <w:rPr>
          <w:b/>
          <w:bCs/>
          <w:snapToGrid w:val="0"/>
          <w:color w:val="000000"/>
          <w:sz w:val="24"/>
        </w:rPr>
        <w:t xml:space="preserve">: </w:t>
      </w:r>
      <w:r w:rsidR="00416781">
        <w:rPr>
          <w:sz w:val="22"/>
          <w:szCs w:val="22"/>
        </w:rPr>
        <w:t>02579-005-000, 02579-006-000 and 02579-007-000</w:t>
      </w:r>
    </w:p>
    <w:p w14:paraId="2C5CDECF" w14:textId="77777777" w:rsidR="00C94332" w:rsidRPr="00AC6969" w:rsidRDefault="00C94332" w:rsidP="000B440D">
      <w:pPr>
        <w:jc w:val="both"/>
        <w:rPr>
          <w:bCs/>
          <w:color w:val="000000"/>
          <w:highlight w:val="yellow"/>
        </w:rPr>
      </w:pPr>
    </w:p>
    <w:p w14:paraId="29E5CC41" w14:textId="77777777" w:rsidR="00E41FEB" w:rsidRPr="00E41FEB" w:rsidRDefault="00E41FEB" w:rsidP="00E41FEB">
      <w:pPr>
        <w:spacing w:after="120"/>
        <w:rPr>
          <w:sz w:val="22"/>
          <w:szCs w:val="22"/>
        </w:rPr>
      </w:pPr>
      <w:bookmarkStart w:id="4" w:name="_Hlk93559004"/>
      <w:bookmarkEnd w:id="3"/>
      <w:r w:rsidRPr="00E41FEB">
        <w:rPr>
          <w:color w:val="000000"/>
          <w:sz w:val="22"/>
          <w:szCs w:val="22"/>
        </w:rPr>
        <w:t>Legal Description:</w:t>
      </w:r>
      <w:r w:rsidRPr="00E41FEB">
        <w:rPr>
          <w:sz w:val="22"/>
          <w:szCs w:val="22"/>
        </w:rPr>
        <w:t xml:space="preserve"> </w:t>
      </w:r>
    </w:p>
    <w:bookmarkEnd w:id="4"/>
    <w:p w14:paraId="4DBFEAA4" w14:textId="77777777" w:rsidR="00416781" w:rsidRDefault="00416781" w:rsidP="00416781">
      <w:pPr>
        <w:spacing w:after="80"/>
        <w:rPr>
          <w:b/>
          <w:bCs/>
          <w:color w:val="000000"/>
        </w:rPr>
      </w:pPr>
      <w:r>
        <w:rPr>
          <w:b/>
          <w:bCs/>
          <w:color w:val="000000"/>
        </w:rPr>
        <w:lastRenderedPageBreak/>
        <w:t xml:space="preserve">Three (3) Tax Parcels totaling </w:t>
      </w:r>
      <w:r w:rsidRPr="003C531E">
        <w:rPr>
          <w:b/>
          <w:bCs/>
          <w:color w:val="000000"/>
        </w:rPr>
        <w:t>±</w:t>
      </w:r>
      <w:r>
        <w:rPr>
          <w:b/>
          <w:bCs/>
          <w:color w:val="000000"/>
        </w:rPr>
        <w:t>29 acres</w:t>
      </w:r>
    </w:p>
    <w:p w14:paraId="56996D05" w14:textId="77777777" w:rsidR="00416781" w:rsidRDefault="00416781" w:rsidP="00416781">
      <w:pPr>
        <w:spacing w:after="80"/>
        <w:rPr>
          <w:b/>
          <w:bCs/>
          <w:color w:val="000000"/>
        </w:rPr>
      </w:pPr>
    </w:p>
    <w:p w14:paraId="56F831AE" w14:textId="77777777" w:rsidR="00416781" w:rsidRPr="00B063E4" w:rsidRDefault="00416781" w:rsidP="00416781">
      <w:pPr>
        <w:spacing w:after="80"/>
        <w:rPr>
          <w:b/>
          <w:bCs/>
          <w:color w:val="000000"/>
        </w:rPr>
      </w:pPr>
      <w:r>
        <w:rPr>
          <w:b/>
          <w:bCs/>
          <w:color w:val="000000"/>
        </w:rPr>
        <w:t>1. T</w:t>
      </w:r>
      <w:r w:rsidRPr="00B063E4">
        <w:rPr>
          <w:b/>
          <w:bCs/>
          <w:color w:val="000000"/>
        </w:rPr>
        <w:t xml:space="preserve">ax Parcel No.: </w:t>
      </w:r>
      <w:r w:rsidRPr="000F168B">
        <w:rPr>
          <w:b/>
          <w:bCs/>
          <w:color w:val="000000"/>
        </w:rPr>
        <w:t>0</w:t>
      </w:r>
      <w:r>
        <w:rPr>
          <w:b/>
          <w:bCs/>
          <w:color w:val="000000"/>
        </w:rPr>
        <w:t>2579</w:t>
      </w:r>
      <w:r w:rsidRPr="000F168B">
        <w:rPr>
          <w:b/>
          <w:bCs/>
          <w:color w:val="000000"/>
        </w:rPr>
        <w:t>-00</w:t>
      </w:r>
      <w:r>
        <w:rPr>
          <w:b/>
          <w:bCs/>
          <w:color w:val="000000"/>
        </w:rPr>
        <w:t>5</w:t>
      </w:r>
      <w:r w:rsidRPr="000F168B">
        <w:rPr>
          <w:b/>
          <w:bCs/>
          <w:color w:val="000000"/>
        </w:rPr>
        <w:t>-000</w:t>
      </w:r>
      <w:r w:rsidRPr="00B063E4">
        <w:rPr>
          <w:b/>
          <w:bCs/>
          <w:color w:val="000000"/>
        </w:rPr>
        <w:t>; ±</w:t>
      </w:r>
      <w:r>
        <w:rPr>
          <w:b/>
          <w:bCs/>
          <w:color w:val="000000"/>
        </w:rPr>
        <w:t>20.00</w:t>
      </w:r>
      <w:r w:rsidRPr="00B063E4">
        <w:rPr>
          <w:b/>
          <w:bCs/>
          <w:color w:val="000000"/>
        </w:rPr>
        <w:t xml:space="preserve"> acres</w:t>
      </w:r>
    </w:p>
    <w:p w14:paraId="0A96CA63" w14:textId="77777777" w:rsidR="00416781" w:rsidRPr="003612F0" w:rsidRDefault="00416781" w:rsidP="00416781">
      <w:pPr>
        <w:spacing w:after="120"/>
        <w:ind w:firstLine="720"/>
      </w:pPr>
      <w:r w:rsidRPr="00722C70">
        <w:rPr>
          <w:color w:val="000000"/>
          <w:u w:val="single"/>
        </w:rPr>
        <w:t>Legal Description</w:t>
      </w:r>
      <w:r w:rsidRPr="003612F0">
        <w:rPr>
          <w:color w:val="000000"/>
        </w:rPr>
        <w:t>:</w:t>
      </w:r>
    </w:p>
    <w:p w14:paraId="55DEFA33" w14:textId="77777777" w:rsidR="00416781" w:rsidRPr="004F56D9" w:rsidRDefault="00416781" w:rsidP="00FF6C51">
      <w:pPr>
        <w:spacing w:after="80"/>
        <w:ind w:left="720"/>
        <w:jc w:val="both"/>
      </w:pPr>
      <w:r w:rsidRPr="004F56D9">
        <w:t>A portion of Alachua County Tax Parcel 2579-000-000 described as:</w:t>
      </w:r>
    </w:p>
    <w:p w14:paraId="6631663E" w14:textId="77777777" w:rsidR="00416781" w:rsidRPr="004F56D9" w:rsidRDefault="00416781" w:rsidP="00FF6C51">
      <w:pPr>
        <w:spacing w:after="80"/>
        <w:ind w:left="720"/>
        <w:jc w:val="both"/>
      </w:pPr>
      <w:r w:rsidRPr="004F56D9">
        <w:t>A parcel of land lying in the West 1/2 of the Northwest 1/4 of Section 17, Township 10 South, Range 17 East, Alachua County, Florida, being more particularly described as</w:t>
      </w:r>
      <w:r>
        <w:t xml:space="preserve"> </w:t>
      </w:r>
      <w:r w:rsidRPr="004F56D9">
        <w:t>follows:</w:t>
      </w:r>
    </w:p>
    <w:p w14:paraId="102C520F" w14:textId="77777777" w:rsidR="00416781" w:rsidRPr="004F56D9" w:rsidRDefault="00416781" w:rsidP="00FF6C51">
      <w:pPr>
        <w:spacing w:after="80"/>
        <w:ind w:left="720"/>
        <w:jc w:val="both"/>
      </w:pPr>
      <w:r w:rsidRPr="004F56D9">
        <w:t>Commence at a concrete monument marking the Southeast corner of the West 1/2 of the Northwest 1/4 of Section 17, Township 10 South, Range 17 East, for the Point of Beginning and thence run S 87°45'06" W, along the South line of the West 1/2 of the Northwest 1/4 of said Section 17, a distance of 667.37 feet to an iron rod; thence run N 00°42'41" W, a distance of</w:t>
      </w:r>
      <w:r>
        <w:t xml:space="preserve"> </w:t>
      </w:r>
      <w:r w:rsidRPr="004F56D9">
        <w:t xml:space="preserve">727.61 feet to an iron rod; thence run S 85°15'49" W, a distance </w:t>
      </w:r>
      <w:proofErr w:type="spellStart"/>
      <w:r w:rsidRPr="004F56D9">
        <w:t>af</w:t>
      </w:r>
      <w:proofErr w:type="spellEnd"/>
      <w:r w:rsidRPr="004F56D9">
        <w:t xml:space="preserve"> 617.39 feet to an iron rod on the East right-of-way line of County Road No. C-337 {100.00' right-of-way); thence run N 00°36'43" W, along the East right-of-way line of County Road No. C-337, a distance of 40.10 feet to an iron rod; thence departing from said right-of-way line, run N 85°15'49" E, a distance of</w:t>
      </w:r>
      <w:r>
        <w:t xml:space="preserve"> </w:t>
      </w:r>
      <w:r w:rsidRPr="004F56D9">
        <w:t>697.66 feet to an iron rod; thence run N 00°42'41" W, a distance of 403.57 feet to an iron rod; thence run N 87°37'27" E, o distance of 55.78feet to an iron rod; thence run N 00°42'41" W, a distance of 182.00feet to an iron rod; thence run N 87°37'27" E, a distance of 529.00 feet to an iron rod on the East line of the West 1/2 of the Northwest 1/4 of said Section 17; thence run S 00°48'53" E, along the East line of the West 1/2 of the Northwest 1/4 of said Section 17, a distance of 1358.01 feet to the Point of Beginning.</w:t>
      </w:r>
    </w:p>
    <w:p w14:paraId="0F54D4C1" w14:textId="77777777" w:rsidR="00416781" w:rsidRPr="004F56D9" w:rsidRDefault="00416781" w:rsidP="00416781">
      <w:pPr>
        <w:spacing w:after="80"/>
        <w:ind w:left="720"/>
      </w:pPr>
      <w:r w:rsidRPr="004F56D9">
        <w:t xml:space="preserve">Containing 20.00 </w:t>
      </w:r>
      <w:proofErr w:type="gramStart"/>
      <w:r w:rsidRPr="004F56D9">
        <w:t>acres more or less</w:t>
      </w:r>
      <w:proofErr w:type="gramEnd"/>
      <w:r w:rsidRPr="004F56D9">
        <w:t>.</w:t>
      </w:r>
    </w:p>
    <w:p w14:paraId="4472B8A5" w14:textId="77777777" w:rsidR="00416781" w:rsidRDefault="00416781" w:rsidP="00416781">
      <w:pPr>
        <w:spacing w:after="80"/>
        <w:rPr>
          <w:b/>
          <w:bCs/>
          <w:color w:val="000000"/>
        </w:rPr>
      </w:pPr>
      <w:r w:rsidRPr="004F56D9">
        <w:rPr>
          <w:b/>
          <w:bCs/>
          <w:color w:val="000000"/>
        </w:rPr>
        <w:t>2. Tax Parcel No. 02579-006-000, ±6.67 acres</w:t>
      </w:r>
    </w:p>
    <w:p w14:paraId="00226531" w14:textId="77777777" w:rsidR="00416781" w:rsidRDefault="00416781" w:rsidP="00416781">
      <w:pPr>
        <w:spacing w:after="80"/>
        <w:ind w:firstLine="720"/>
        <w:rPr>
          <w:color w:val="000000"/>
        </w:rPr>
      </w:pPr>
      <w:r w:rsidRPr="00722C70">
        <w:rPr>
          <w:color w:val="000000"/>
          <w:u w:val="single"/>
        </w:rPr>
        <w:t>Legal Description</w:t>
      </w:r>
      <w:r>
        <w:rPr>
          <w:color w:val="000000"/>
        </w:rPr>
        <w:t>:</w:t>
      </w:r>
    </w:p>
    <w:p w14:paraId="4290B4B5" w14:textId="77777777" w:rsidR="00416781" w:rsidRPr="001B220B" w:rsidRDefault="00416781" w:rsidP="00416781">
      <w:pPr>
        <w:spacing w:after="80"/>
        <w:ind w:left="720"/>
        <w:rPr>
          <w:color w:val="000000"/>
        </w:rPr>
      </w:pPr>
      <w:r w:rsidRPr="001B220B">
        <w:rPr>
          <w:color w:val="000000"/>
        </w:rPr>
        <w:t>A parcel of land lying in the West 1/2 of the Northwest 1/4 of Section 17, Township 10 South, Range 17 East, Alachua County, Florida, being more particularly described as follows:</w:t>
      </w:r>
    </w:p>
    <w:p w14:paraId="44716E87" w14:textId="77777777" w:rsidR="00416781" w:rsidRPr="001B220B" w:rsidRDefault="00416781" w:rsidP="00416781">
      <w:pPr>
        <w:spacing w:after="80"/>
        <w:ind w:left="720"/>
        <w:rPr>
          <w:color w:val="000000"/>
        </w:rPr>
      </w:pPr>
    </w:p>
    <w:p w14:paraId="4EAA130C" w14:textId="77777777" w:rsidR="00416781" w:rsidRPr="001B220B" w:rsidRDefault="00416781" w:rsidP="00FF6C51">
      <w:pPr>
        <w:spacing w:after="80"/>
        <w:ind w:left="720"/>
        <w:jc w:val="both"/>
        <w:rPr>
          <w:color w:val="000000"/>
        </w:rPr>
      </w:pPr>
      <w:r w:rsidRPr="001B220B">
        <w:rPr>
          <w:color w:val="000000"/>
        </w:rPr>
        <w:t>Commence at a concrete monument marking the Southeast corner of the West 1/2 of the Northwest 1/4 of Section 17, Township 10 South, Range 17 East, for a Point of Reference and thence run S 87°45'06" W, along the South line of the West 1/2 of the Northwest 1/4 of said Section 17, a distance of 667.37 feet to an iron rod; thence run N 00°42'41" W, a distance of 727.61 feet to an iron rod; thence run S 85°15'49" W, a distance of 617.39 feet to an Iron rod on the East right-of-way line of County Road No. C-337 (100.00" right-of-way); thence run N 00°36'43" W, along the East right-of-way line of County Road No. C-337, a distance of 40.10 feet to an Iron rod and for the Point of Beginning; thence departing from said right-of-way line, run N 85°15'49" E, a distance of 697.66 feet to an iron rod; thence run N 00°42'41" W, a distance of 403.57 feet to an iron rod; thence run S 87°37'27" W, a distance of</w:t>
      </w:r>
    </w:p>
    <w:p w14:paraId="6DA9A3AD" w14:textId="77777777" w:rsidR="00416781" w:rsidRPr="001B220B" w:rsidRDefault="00416781" w:rsidP="00FF6C51">
      <w:pPr>
        <w:spacing w:after="80"/>
        <w:ind w:left="720"/>
        <w:jc w:val="both"/>
        <w:rPr>
          <w:color w:val="000000"/>
        </w:rPr>
      </w:pPr>
      <w:r w:rsidRPr="001B220B">
        <w:rPr>
          <w:color w:val="000000"/>
        </w:rPr>
        <w:t xml:space="preserve">695.48 feet to an iron rod on the East right-of-way line of County Road No. C-337 (100.00' right-of-way); thence run S 00°36'43" E, along the East right-of-way line of County Road No. C-337, </w:t>
      </w:r>
      <w:proofErr w:type="gramStart"/>
      <w:r w:rsidRPr="001B220B">
        <w:rPr>
          <w:color w:val="000000"/>
        </w:rPr>
        <w:t>a distance of 432.34</w:t>
      </w:r>
      <w:proofErr w:type="gramEnd"/>
      <w:r w:rsidRPr="001B220B">
        <w:rPr>
          <w:color w:val="000000"/>
        </w:rPr>
        <w:t xml:space="preserve"> feet to the Point of Beginning.</w:t>
      </w:r>
    </w:p>
    <w:p w14:paraId="1FF90867" w14:textId="77777777" w:rsidR="00416781" w:rsidRDefault="00416781" w:rsidP="00416781">
      <w:pPr>
        <w:spacing w:after="80"/>
        <w:ind w:left="720"/>
        <w:rPr>
          <w:color w:val="000000"/>
        </w:rPr>
      </w:pPr>
      <w:r w:rsidRPr="001B220B">
        <w:rPr>
          <w:color w:val="000000"/>
        </w:rPr>
        <w:t xml:space="preserve">Containing 6.67 </w:t>
      </w:r>
      <w:proofErr w:type="gramStart"/>
      <w:r w:rsidRPr="001B220B">
        <w:rPr>
          <w:color w:val="000000"/>
        </w:rPr>
        <w:t>acres more or less</w:t>
      </w:r>
      <w:proofErr w:type="gramEnd"/>
      <w:r w:rsidRPr="001B220B">
        <w:rPr>
          <w:color w:val="000000"/>
        </w:rPr>
        <w:t>.</w:t>
      </w:r>
    </w:p>
    <w:p w14:paraId="2FC42844" w14:textId="77777777" w:rsidR="00416781" w:rsidRPr="001B220B" w:rsidRDefault="00416781" w:rsidP="00416781">
      <w:pPr>
        <w:spacing w:after="80"/>
        <w:rPr>
          <w:b/>
          <w:bCs/>
          <w:color w:val="000000"/>
        </w:rPr>
      </w:pPr>
      <w:r w:rsidRPr="001B220B">
        <w:rPr>
          <w:b/>
          <w:bCs/>
          <w:color w:val="000000"/>
        </w:rPr>
        <w:t xml:space="preserve">3. Tax Parcel 02579-007-000; </w:t>
      </w:r>
      <w:r w:rsidRPr="004F56D9">
        <w:rPr>
          <w:b/>
          <w:bCs/>
          <w:color w:val="000000"/>
        </w:rPr>
        <w:t>±</w:t>
      </w:r>
      <w:r w:rsidRPr="001B220B">
        <w:rPr>
          <w:b/>
          <w:bCs/>
          <w:color w:val="000000"/>
        </w:rPr>
        <w:t>2.35 acres</w:t>
      </w:r>
    </w:p>
    <w:p w14:paraId="1349922C" w14:textId="77777777" w:rsidR="00416781" w:rsidRDefault="00416781" w:rsidP="00416781">
      <w:pPr>
        <w:spacing w:after="80"/>
        <w:ind w:firstLine="720"/>
        <w:rPr>
          <w:color w:val="000000"/>
        </w:rPr>
      </w:pPr>
      <w:r w:rsidRPr="001B220B">
        <w:rPr>
          <w:color w:val="000000"/>
          <w:u w:val="single"/>
        </w:rPr>
        <w:t>Legal Description</w:t>
      </w:r>
      <w:r>
        <w:rPr>
          <w:color w:val="000000"/>
        </w:rPr>
        <w:t>:</w:t>
      </w:r>
    </w:p>
    <w:p w14:paraId="087950D1" w14:textId="77777777" w:rsidR="00416781" w:rsidRPr="001B220B" w:rsidRDefault="00416781" w:rsidP="00416781">
      <w:pPr>
        <w:spacing w:after="80"/>
        <w:ind w:left="720"/>
        <w:rPr>
          <w:color w:val="000000"/>
        </w:rPr>
      </w:pPr>
      <w:r w:rsidRPr="001B220B">
        <w:rPr>
          <w:color w:val="000000"/>
        </w:rPr>
        <w:t>A parcel of land lying in the West 1/2 of the Northwest 1/4 of Section 17, Township 10 South, Range 17 East, Alachua County, Florida, being more particularly described as follows:</w:t>
      </w:r>
    </w:p>
    <w:p w14:paraId="311E298F" w14:textId="77777777" w:rsidR="00416781" w:rsidRPr="001B220B" w:rsidRDefault="00416781" w:rsidP="00FF6C51">
      <w:pPr>
        <w:spacing w:after="80"/>
        <w:ind w:left="720"/>
        <w:jc w:val="both"/>
        <w:rPr>
          <w:color w:val="000000"/>
        </w:rPr>
      </w:pPr>
      <w:r w:rsidRPr="001B220B">
        <w:rPr>
          <w:color w:val="000000"/>
        </w:rPr>
        <w:t xml:space="preserve">Commence at a concrete monument marking the Southeast corner of the West 1/2 of the Northwest 114 of Section 17, Township JO South, Range 17 </w:t>
      </w:r>
      <w:proofErr w:type="spellStart"/>
      <w:r w:rsidRPr="001B220B">
        <w:rPr>
          <w:color w:val="000000"/>
        </w:rPr>
        <w:t>East,for</w:t>
      </w:r>
      <w:proofErr w:type="spellEnd"/>
      <w:r w:rsidRPr="001B220B">
        <w:rPr>
          <w:color w:val="000000"/>
        </w:rPr>
        <w:t xml:space="preserve"> a Point of Reference and thence run S 87°45'06" W, along the South line of the West 112 of the Northwest 1/4 of said Section 17, a distance of667.37 feet to an iron rod; thence run N 00°42'41" W, a distance of 727.61 feet to an iron rod; thence run S 85°15'49" W, a distance of 617.39 feet to an iron rod on the East right-of-way line of County Road No. C-337 (100.00' right-of-way); thence run N 00°36'43" W, along the East right-of-way line of County Road No. C-337, a distance of 472.44 feet to an iron rod and for the Point of Beginning; thence continue N 00°36'43" W, along the East right-of-way line of County Road No. C-337, a distance of 128.30 feet to an iron rod; thence departing from said right-of-way line, run N 85°34'35" E, a distance of 471.39 feet to an iron rod; thence run S 00°42'41" E, a </w:t>
      </w:r>
      <w:r w:rsidRPr="001B220B">
        <w:rPr>
          <w:color w:val="000000"/>
        </w:rPr>
        <w:lastRenderedPageBreak/>
        <w:t>distance of90.00 feet to an iron rod; thence run N 85°34'35" E, a distance of 97.00 feet to an iron rod; thence run N 00°42'41" W, a distance of 90.00 feet to an iron rod; thence run N 63°07'58" E, a distance of 51.57 feet to an iron rod; thence run N 00°42'41" W, a distance of 12.00 feet to an iron rod, said point being the Southwest corner of that certain parcel of land recorded in Official Records Book 2578, Page 1027, Public Records of Alachua County, Florida; thence run N 87°37'27" E, along the South line of said parcel, a distance of 137.30 feet to an iron rod; thence run S 00°42'41" E, a distance of 182.00feet to an iron rod; thence run S 87°37'27" W, a distance of</w:t>
      </w:r>
    </w:p>
    <w:p w14:paraId="6D2D1F4C" w14:textId="77777777" w:rsidR="00416781" w:rsidRPr="001B220B" w:rsidRDefault="00416781" w:rsidP="00416781">
      <w:pPr>
        <w:spacing w:after="80"/>
        <w:ind w:left="720"/>
        <w:rPr>
          <w:color w:val="000000"/>
        </w:rPr>
      </w:pPr>
      <w:r w:rsidRPr="001B220B">
        <w:rPr>
          <w:color w:val="000000"/>
        </w:rPr>
        <w:t>751.26 feet to the Point of Beginning.</w:t>
      </w:r>
    </w:p>
    <w:p w14:paraId="7716AA55" w14:textId="77777777" w:rsidR="00416781" w:rsidRPr="004F56D9" w:rsidRDefault="00416781" w:rsidP="00416781">
      <w:pPr>
        <w:spacing w:after="80"/>
        <w:ind w:left="720"/>
        <w:rPr>
          <w:color w:val="000000"/>
        </w:rPr>
      </w:pPr>
      <w:r w:rsidRPr="001B220B">
        <w:rPr>
          <w:color w:val="000000"/>
        </w:rPr>
        <w:t xml:space="preserve">Containing 2.35 </w:t>
      </w:r>
      <w:proofErr w:type="gramStart"/>
      <w:r w:rsidRPr="001B220B">
        <w:rPr>
          <w:color w:val="000000"/>
        </w:rPr>
        <w:t>acres, more or less</w:t>
      </w:r>
      <w:proofErr w:type="gramEnd"/>
      <w:r w:rsidRPr="001B220B">
        <w:rPr>
          <w:color w:val="000000"/>
        </w:rPr>
        <w:t>.</w:t>
      </w:r>
    </w:p>
    <w:p w14:paraId="3E386065" w14:textId="77777777" w:rsidR="00022497" w:rsidRPr="003A0292" w:rsidRDefault="00022497" w:rsidP="00022497">
      <w:pPr>
        <w:jc w:val="both"/>
        <w:rPr>
          <w:bCs/>
          <w:color w:val="000000"/>
        </w:rPr>
      </w:pPr>
    </w:p>
    <w:p w14:paraId="1BF8A3DB" w14:textId="77777777" w:rsidR="006A7550" w:rsidRDefault="006A7550" w:rsidP="000B440D">
      <w:pPr>
        <w:jc w:val="both"/>
        <w:rPr>
          <w:bCs/>
        </w:rPr>
      </w:pPr>
    </w:p>
    <w:p w14:paraId="4189300A" w14:textId="126E9888" w:rsidR="00703CC0" w:rsidRPr="00FE0CDC" w:rsidRDefault="00703CC0" w:rsidP="000B440D">
      <w:pPr>
        <w:spacing w:after="200"/>
        <w:ind w:firstLine="720"/>
        <w:jc w:val="both"/>
        <w:rPr>
          <w:sz w:val="22"/>
          <w:szCs w:val="22"/>
        </w:rPr>
      </w:pPr>
      <w:r w:rsidRPr="00B53713">
        <w:rPr>
          <w:b/>
          <w:bCs/>
          <w:sz w:val="22"/>
          <w:szCs w:val="22"/>
          <w:u w:val="single"/>
        </w:rPr>
        <w:t xml:space="preserve">Section </w:t>
      </w:r>
      <w:r w:rsidR="000B440D">
        <w:rPr>
          <w:b/>
          <w:bCs/>
          <w:sz w:val="22"/>
          <w:szCs w:val="22"/>
          <w:u w:val="single"/>
        </w:rPr>
        <w:t>2</w:t>
      </w:r>
      <w:r w:rsidRPr="00B53713">
        <w:rPr>
          <w:b/>
          <w:bCs/>
          <w:sz w:val="22"/>
          <w:szCs w:val="22"/>
          <w:u w:val="single"/>
        </w:rPr>
        <w:t>.</w:t>
      </w:r>
      <w:r w:rsidRPr="00B53713">
        <w:rPr>
          <w:b/>
          <w:bCs/>
          <w:sz w:val="22"/>
          <w:szCs w:val="22"/>
        </w:rPr>
        <w:t xml:space="preserve">  Severability.</w:t>
      </w:r>
      <w:r w:rsidRPr="00B53713">
        <w:rPr>
          <w:sz w:val="22"/>
          <w:szCs w:val="22"/>
        </w:rPr>
        <w:t xml:space="preserve">  If any provision or portion of this Ordinance is declared by any court of competent jurisdiction to be void, unconstitutional or unenforceable, then all remaining provisions and portions of this Ordinance shall remain in full force and effect.</w:t>
      </w:r>
    </w:p>
    <w:p w14:paraId="4704BFCE" w14:textId="673B0022" w:rsidR="00703CC0" w:rsidRPr="00FE0CDC" w:rsidRDefault="00703CC0" w:rsidP="000B440D">
      <w:pPr>
        <w:spacing w:after="200"/>
        <w:ind w:firstLine="720"/>
        <w:jc w:val="both"/>
        <w:rPr>
          <w:sz w:val="22"/>
          <w:szCs w:val="22"/>
        </w:rPr>
      </w:pPr>
      <w:r w:rsidRPr="00B12FB1">
        <w:rPr>
          <w:b/>
          <w:bCs/>
          <w:sz w:val="22"/>
          <w:szCs w:val="22"/>
          <w:u w:val="single"/>
        </w:rPr>
        <w:t xml:space="preserve">Section </w:t>
      </w:r>
      <w:r w:rsidR="000B440D">
        <w:rPr>
          <w:b/>
          <w:bCs/>
          <w:sz w:val="22"/>
          <w:szCs w:val="22"/>
          <w:u w:val="single"/>
        </w:rPr>
        <w:t>3</w:t>
      </w:r>
      <w:r w:rsidRPr="00B12FB1">
        <w:rPr>
          <w:b/>
          <w:bCs/>
          <w:sz w:val="22"/>
          <w:szCs w:val="22"/>
          <w:u w:val="single"/>
        </w:rPr>
        <w:t>.</w:t>
      </w:r>
      <w:r w:rsidRPr="00B12FB1">
        <w:rPr>
          <w:b/>
          <w:bCs/>
          <w:sz w:val="22"/>
          <w:szCs w:val="22"/>
        </w:rPr>
        <w:t xml:space="preserve">  Conflict. </w:t>
      </w:r>
      <w:r w:rsidRPr="00FE0CDC">
        <w:rPr>
          <w:sz w:val="22"/>
          <w:szCs w:val="22"/>
        </w:rPr>
        <w:t xml:space="preserve"> All ordinances or parts of ordinances in conflict herewith are, to the extent of such conflict, hereby repealed.</w:t>
      </w:r>
    </w:p>
    <w:p w14:paraId="1C3F2950" w14:textId="38AF7E44" w:rsidR="00703CC0" w:rsidRPr="00FE0CDC" w:rsidRDefault="00703CC0" w:rsidP="000B440D">
      <w:pPr>
        <w:spacing w:after="200"/>
        <w:ind w:firstLine="720"/>
        <w:jc w:val="both"/>
        <w:rPr>
          <w:sz w:val="22"/>
          <w:szCs w:val="22"/>
        </w:rPr>
      </w:pPr>
      <w:r w:rsidRPr="00B12FB1">
        <w:rPr>
          <w:b/>
          <w:bCs/>
          <w:sz w:val="22"/>
          <w:szCs w:val="22"/>
          <w:u w:val="single"/>
        </w:rPr>
        <w:t xml:space="preserve">Section </w:t>
      </w:r>
      <w:r w:rsidR="000B440D">
        <w:rPr>
          <w:b/>
          <w:bCs/>
          <w:sz w:val="22"/>
          <w:szCs w:val="22"/>
          <w:u w:val="single"/>
        </w:rPr>
        <w:t>4</w:t>
      </w:r>
      <w:r w:rsidRPr="00B12FB1">
        <w:rPr>
          <w:b/>
          <w:bCs/>
          <w:sz w:val="22"/>
          <w:szCs w:val="22"/>
          <w:u w:val="single"/>
        </w:rPr>
        <w:t>.</w:t>
      </w:r>
      <w:r w:rsidRPr="00B12FB1">
        <w:rPr>
          <w:b/>
          <w:bCs/>
          <w:sz w:val="22"/>
          <w:szCs w:val="22"/>
        </w:rPr>
        <w:t xml:space="preserve">  Effective Date.</w:t>
      </w:r>
      <w:r w:rsidRPr="00FE0CDC">
        <w:rPr>
          <w:sz w:val="22"/>
          <w:szCs w:val="22"/>
        </w:rPr>
        <w:t xml:space="preserve"> The effective date of this plan amendment shall be thirty-one (31) days following the date of adoption of this plan amendment.  However, if any affected person files a petition with the Florida Division of Administrative Hearings pursuant to Section 120.57, Florida Statutes, to request a hearing to challenge the compliance of this plan amendment with Section 163.3187, Florida Statutes, as amended, within thirty (30) days following the date of adoption of this plan amendment, the plan amendment may not become effective until the state land planning agency or the Administrative Commission, respectively, issues a final order of compliance.</w:t>
      </w:r>
    </w:p>
    <w:p w14:paraId="3E20B5FC" w14:textId="77777777" w:rsidR="00703CC0" w:rsidRPr="00FE0CDC" w:rsidRDefault="00703CC0" w:rsidP="000B440D">
      <w:pPr>
        <w:spacing w:after="200"/>
        <w:jc w:val="both"/>
        <w:rPr>
          <w:sz w:val="22"/>
          <w:szCs w:val="22"/>
        </w:rPr>
      </w:pPr>
      <w:r w:rsidRPr="00FE0CDC">
        <w:rPr>
          <w:sz w:val="22"/>
          <w:szCs w:val="22"/>
        </w:rPr>
        <w:t>No development orders, development permits or land uses dependent on this plan amendment may be issued or commence before it has become effective.</w:t>
      </w:r>
    </w:p>
    <w:p w14:paraId="07F248CF" w14:textId="7434662E" w:rsidR="00703CC0" w:rsidRPr="00FE0CDC" w:rsidRDefault="00703CC0" w:rsidP="000B440D">
      <w:pPr>
        <w:ind w:firstLine="720"/>
        <w:jc w:val="both"/>
        <w:rPr>
          <w:sz w:val="22"/>
          <w:szCs w:val="22"/>
        </w:rPr>
      </w:pPr>
      <w:r w:rsidRPr="00B12FB1">
        <w:rPr>
          <w:b/>
          <w:bCs/>
          <w:sz w:val="22"/>
          <w:szCs w:val="22"/>
          <w:u w:val="single"/>
        </w:rPr>
        <w:t>Section</w:t>
      </w:r>
      <w:r w:rsidR="000B440D">
        <w:rPr>
          <w:b/>
          <w:bCs/>
          <w:sz w:val="22"/>
          <w:szCs w:val="22"/>
          <w:u w:val="single"/>
        </w:rPr>
        <w:t xml:space="preserve"> 5</w:t>
      </w:r>
      <w:r w:rsidRPr="00B12FB1">
        <w:rPr>
          <w:b/>
          <w:bCs/>
          <w:sz w:val="22"/>
          <w:szCs w:val="22"/>
          <w:u w:val="single"/>
        </w:rPr>
        <w:t>.</w:t>
      </w:r>
      <w:r w:rsidRPr="00B12FB1">
        <w:rPr>
          <w:b/>
          <w:bCs/>
          <w:sz w:val="22"/>
          <w:szCs w:val="22"/>
        </w:rPr>
        <w:t xml:space="preserve">  Authority. </w:t>
      </w:r>
      <w:r w:rsidRPr="00FE0CDC">
        <w:rPr>
          <w:sz w:val="22"/>
          <w:szCs w:val="22"/>
        </w:rPr>
        <w:t xml:space="preserve"> This Ordinance is adopted pursuant to the authority granted by Section 166.021, Florida Statutes, and under the </w:t>
      </w:r>
      <w:r w:rsidR="00E07645" w:rsidRPr="00FE0CDC">
        <w:rPr>
          <w:sz w:val="22"/>
          <w:szCs w:val="22"/>
        </w:rPr>
        <w:t>small-scale</w:t>
      </w:r>
      <w:r w:rsidRPr="00FE0CDC">
        <w:rPr>
          <w:sz w:val="22"/>
          <w:szCs w:val="22"/>
        </w:rPr>
        <w:t xml:space="preserve"> amendment provisions of Section 163.3187, Florida Statutes, as amended. </w:t>
      </w:r>
    </w:p>
    <w:p w14:paraId="74DFF2E1" w14:textId="77777777" w:rsidR="00703CC0" w:rsidRPr="00FE0CDC" w:rsidRDefault="00703CC0" w:rsidP="000B440D">
      <w:pPr>
        <w:ind w:firstLine="720"/>
        <w:jc w:val="both"/>
        <w:rPr>
          <w:sz w:val="22"/>
          <w:szCs w:val="22"/>
        </w:rPr>
      </w:pPr>
    </w:p>
    <w:p w14:paraId="4E759F18" w14:textId="03BD1181" w:rsidR="00703CC0" w:rsidRPr="00FE0CDC" w:rsidRDefault="00703CC0" w:rsidP="000B440D">
      <w:pPr>
        <w:ind w:firstLine="720"/>
        <w:jc w:val="both"/>
        <w:rPr>
          <w:b/>
          <w:sz w:val="22"/>
          <w:szCs w:val="22"/>
        </w:rPr>
      </w:pPr>
      <w:r w:rsidRPr="000B440D">
        <w:rPr>
          <w:sz w:val="22"/>
          <w:szCs w:val="22"/>
        </w:rPr>
        <w:t>DONE THE FIRST READING</w:t>
      </w:r>
      <w:r w:rsidRPr="00FE0CDC">
        <w:rPr>
          <w:sz w:val="22"/>
          <w:szCs w:val="22"/>
        </w:rPr>
        <w:t xml:space="preserve">, by the City Commission of the City of Newberry, Florida, at a regular meeting, the </w:t>
      </w:r>
      <w:r w:rsidRPr="00FE0CDC">
        <w:rPr>
          <w:sz w:val="22"/>
          <w:szCs w:val="22"/>
          <w:u w:val="single"/>
        </w:rPr>
        <w:t xml:space="preserve">           </w:t>
      </w:r>
      <w:r w:rsidRPr="00FE0CDC">
        <w:rPr>
          <w:sz w:val="22"/>
          <w:szCs w:val="22"/>
        </w:rPr>
        <w:t xml:space="preserve"> day of </w:t>
      </w:r>
      <w:r w:rsidRPr="00FE0CDC">
        <w:rPr>
          <w:sz w:val="22"/>
          <w:szCs w:val="22"/>
          <w:u w:val="single"/>
        </w:rPr>
        <w:t xml:space="preserve">                                   </w:t>
      </w:r>
      <w:r w:rsidRPr="00FE0CDC">
        <w:rPr>
          <w:sz w:val="22"/>
          <w:szCs w:val="22"/>
        </w:rPr>
        <w:t>, 20</w:t>
      </w:r>
      <w:r>
        <w:rPr>
          <w:sz w:val="22"/>
          <w:szCs w:val="22"/>
        </w:rPr>
        <w:t>2</w:t>
      </w:r>
      <w:r w:rsidR="00531E55">
        <w:rPr>
          <w:sz w:val="22"/>
          <w:szCs w:val="22"/>
        </w:rPr>
        <w:t>4</w:t>
      </w:r>
      <w:r w:rsidRPr="00FE0CDC">
        <w:rPr>
          <w:sz w:val="22"/>
          <w:szCs w:val="22"/>
        </w:rPr>
        <w:t>.</w:t>
      </w:r>
    </w:p>
    <w:p w14:paraId="11653137" w14:textId="77777777" w:rsidR="00703CC0" w:rsidRPr="00FE0CDC" w:rsidRDefault="00703CC0" w:rsidP="000B440D">
      <w:pPr>
        <w:jc w:val="both"/>
        <w:rPr>
          <w:b/>
          <w:sz w:val="22"/>
          <w:szCs w:val="22"/>
        </w:rPr>
      </w:pPr>
    </w:p>
    <w:p w14:paraId="721DC81F" w14:textId="6D89E9A4" w:rsidR="00703CC0" w:rsidRPr="00FE0CDC" w:rsidRDefault="00703CC0" w:rsidP="000B440D">
      <w:pPr>
        <w:ind w:firstLine="720"/>
        <w:jc w:val="both"/>
        <w:rPr>
          <w:b/>
          <w:sz w:val="22"/>
          <w:szCs w:val="22"/>
        </w:rPr>
      </w:pPr>
      <w:r w:rsidRPr="00FE0CDC">
        <w:rPr>
          <w:sz w:val="22"/>
          <w:szCs w:val="22"/>
        </w:rPr>
        <w:t xml:space="preserve">DONE, THE PUBLIC NOTICE, in a newspaper of general circulation in the City of Newberry, Florida, by the City Clerk of the City of Newberry, Florida on the </w:t>
      </w:r>
      <w:r w:rsidRPr="00FE0CDC">
        <w:rPr>
          <w:sz w:val="22"/>
          <w:szCs w:val="22"/>
          <w:u w:val="single"/>
        </w:rPr>
        <w:t xml:space="preserve">        </w:t>
      </w:r>
      <w:r w:rsidRPr="00FE0CDC">
        <w:rPr>
          <w:sz w:val="22"/>
          <w:szCs w:val="22"/>
        </w:rPr>
        <w:t xml:space="preserve"> day of </w:t>
      </w:r>
      <w:r w:rsidRPr="00FE0CDC">
        <w:rPr>
          <w:sz w:val="22"/>
          <w:szCs w:val="22"/>
          <w:u w:val="single"/>
        </w:rPr>
        <w:t xml:space="preserve">  </w:t>
      </w:r>
      <w:r w:rsidR="00E07645">
        <w:rPr>
          <w:sz w:val="22"/>
          <w:szCs w:val="22"/>
          <w:u w:val="single"/>
        </w:rPr>
        <w:t xml:space="preserve">         </w:t>
      </w:r>
      <w:r w:rsidRPr="00FE0CDC">
        <w:rPr>
          <w:sz w:val="22"/>
          <w:szCs w:val="22"/>
          <w:u w:val="single"/>
        </w:rPr>
        <w:t xml:space="preserve">         ,</w:t>
      </w:r>
      <w:r w:rsidRPr="00FE0CDC">
        <w:rPr>
          <w:sz w:val="22"/>
          <w:szCs w:val="22"/>
        </w:rPr>
        <w:t xml:space="preserve"> 20</w:t>
      </w:r>
      <w:r>
        <w:rPr>
          <w:sz w:val="22"/>
          <w:szCs w:val="22"/>
        </w:rPr>
        <w:t>2</w:t>
      </w:r>
      <w:r w:rsidR="00531E55">
        <w:rPr>
          <w:sz w:val="22"/>
          <w:szCs w:val="22"/>
        </w:rPr>
        <w:t>4</w:t>
      </w:r>
      <w:r w:rsidRPr="00FE0CDC">
        <w:rPr>
          <w:sz w:val="22"/>
          <w:szCs w:val="22"/>
        </w:rPr>
        <w:t>.</w:t>
      </w:r>
    </w:p>
    <w:p w14:paraId="7B932F7D" w14:textId="09239CD2" w:rsidR="00703CC0" w:rsidRDefault="00703CC0" w:rsidP="000B440D">
      <w:pPr>
        <w:jc w:val="both"/>
        <w:rPr>
          <w:b/>
          <w:sz w:val="22"/>
          <w:szCs w:val="22"/>
        </w:rPr>
      </w:pPr>
    </w:p>
    <w:p w14:paraId="3643D84A" w14:textId="63CD6AF8" w:rsidR="00E07645" w:rsidRDefault="00E07645" w:rsidP="000B440D">
      <w:pPr>
        <w:jc w:val="both"/>
        <w:rPr>
          <w:b/>
          <w:sz w:val="22"/>
          <w:szCs w:val="22"/>
        </w:rPr>
      </w:pPr>
    </w:p>
    <w:p w14:paraId="5A8D8EFF" w14:textId="03B3C3DA" w:rsidR="00E07645" w:rsidRDefault="00E07645" w:rsidP="000B440D">
      <w:pPr>
        <w:jc w:val="both"/>
        <w:rPr>
          <w:b/>
          <w:sz w:val="22"/>
          <w:szCs w:val="22"/>
        </w:rPr>
      </w:pPr>
    </w:p>
    <w:p w14:paraId="226D354C" w14:textId="52A279CD" w:rsidR="00E07645" w:rsidRDefault="00E07645" w:rsidP="000B440D">
      <w:pPr>
        <w:jc w:val="both"/>
        <w:rPr>
          <w:b/>
          <w:sz w:val="22"/>
          <w:szCs w:val="22"/>
        </w:rPr>
      </w:pPr>
    </w:p>
    <w:p w14:paraId="3E279B78" w14:textId="516726EB" w:rsidR="00E07645" w:rsidRDefault="00E07645" w:rsidP="00E07645">
      <w:pPr>
        <w:jc w:val="center"/>
        <w:rPr>
          <w:b/>
          <w:sz w:val="22"/>
          <w:szCs w:val="22"/>
        </w:rPr>
      </w:pPr>
      <w:r>
        <w:rPr>
          <w:b/>
          <w:sz w:val="22"/>
          <w:szCs w:val="22"/>
        </w:rPr>
        <w:t>[REMAINDER OF PAGE INTENTIONALLY LEFT BLANK]</w:t>
      </w:r>
    </w:p>
    <w:p w14:paraId="32B2FECE" w14:textId="17E5FD67" w:rsidR="00531E55" w:rsidRDefault="00531E55">
      <w:pPr>
        <w:autoSpaceDE/>
        <w:autoSpaceDN/>
        <w:adjustRightInd/>
        <w:rPr>
          <w:b/>
          <w:sz w:val="22"/>
          <w:szCs w:val="22"/>
        </w:rPr>
      </w:pPr>
      <w:r>
        <w:rPr>
          <w:b/>
          <w:sz w:val="22"/>
          <w:szCs w:val="22"/>
        </w:rPr>
        <w:br w:type="page"/>
      </w:r>
    </w:p>
    <w:p w14:paraId="6D3726B7" w14:textId="77777777" w:rsidR="00531E55" w:rsidRPr="00E07645" w:rsidRDefault="00531E55" w:rsidP="00E07645">
      <w:pPr>
        <w:jc w:val="center"/>
        <w:rPr>
          <w:b/>
          <w:sz w:val="22"/>
          <w:szCs w:val="22"/>
        </w:rPr>
      </w:pPr>
    </w:p>
    <w:p w14:paraId="5891D3B5" w14:textId="3001833B" w:rsidR="00703CC0" w:rsidRPr="00FE0CDC" w:rsidRDefault="00703CC0" w:rsidP="000B440D">
      <w:pPr>
        <w:ind w:firstLine="720"/>
        <w:jc w:val="both"/>
        <w:rPr>
          <w:sz w:val="22"/>
          <w:szCs w:val="22"/>
        </w:rPr>
      </w:pPr>
      <w:r w:rsidRPr="00FE0CDC">
        <w:rPr>
          <w:sz w:val="22"/>
          <w:szCs w:val="22"/>
        </w:rPr>
        <w:t>DONE THE SECOND READING, AND ADOPTED ON FINAL PASSAGE, by an affirmative vote of a majority of a quorum present of the City Commission of the City of Newberry, Florida, at a regular meeting, this ___ day of _____________________, 20</w:t>
      </w:r>
      <w:r>
        <w:rPr>
          <w:sz w:val="22"/>
          <w:szCs w:val="22"/>
        </w:rPr>
        <w:t>2</w:t>
      </w:r>
      <w:r w:rsidR="00531E55">
        <w:rPr>
          <w:sz w:val="22"/>
          <w:szCs w:val="22"/>
        </w:rPr>
        <w:t>4</w:t>
      </w:r>
      <w:r w:rsidRPr="00FE0CDC">
        <w:rPr>
          <w:sz w:val="22"/>
          <w:szCs w:val="22"/>
        </w:rPr>
        <w:t>.</w:t>
      </w:r>
    </w:p>
    <w:p w14:paraId="6D73A5FC" w14:textId="58D28C3B" w:rsidR="00703CC0" w:rsidRDefault="00703CC0" w:rsidP="00703CC0">
      <w:pPr>
        <w:jc w:val="both"/>
        <w:rPr>
          <w:sz w:val="22"/>
          <w:szCs w:val="22"/>
        </w:rPr>
      </w:pPr>
    </w:p>
    <w:p w14:paraId="205A9E49" w14:textId="4F770ABE" w:rsidR="00E07645" w:rsidRDefault="00E07645" w:rsidP="00703CC0">
      <w:pPr>
        <w:jc w:val="both"/>
        <w:rPr>
          <w:sz w:val="22"/>
          <w:szCs w:val="22"/>
        </w:rPr>
      </w:pPr>
    </w:p>
    <w:p w14:paraId="24E40C04" w14:textId="77777777" w:rsidR="00E07645" w:rsidRPr="00FE0CDC" w:rsidRDefault="00E07645" w:rsidP="00703CC0">
      <w:pPr>
        <w:jc w:val="both"/>
        <w:rPr>
          <w:sz w:val="22"/>
          <w:szCs w:val="22"/>
        </w:rPr>
      </w:pPr>
    </w:p>
    <w:p w14:paraId="08B3AF95" w14:textId="77777777" w:rsidR="00703CC0" w:rsidRPr="00FE0CDC" w:rsidRDefault="00703CC0" w:rsidP="00703CC0">
      <w:pPr>
        <w:tabs>
          <w:tab w:val="left" w:pos="-1080"/>
        </w:tabs>
        <w:ind w:left="4320"/>
        <w:jc w:val="both"/>
        <w:rPr>
          <w:b/>
        </w:rPr>
      </w:pPr>
      <w:r w:rsidRPr="00FE0CDC">
        <w:rPr>
          <w:sz w:val="22"/>
          <w:szCs w:val="22"/>
        </w:rPr>
        <w:t xml:space="preserve">BY THE MAYOR OF THE CITY OF NEWBERRY, </w:t>
      </w:r>
      <w:r w:rsidRPr="00FE0CDC">
        <w:t>FLORIDA</w:t>
      </w:r>
    </w:p>
    <w:p w14:paraId="7063A47E" w14:textId="77777777" w:rsidR="00703CC0" w:rsidRPr="00FE0CDC" w:rsidRDefault="00703CC0" w:rsidP="00703CC0">
      <w:pPr>
        <w:tabs>
          <w:tab w:val="right" w:pos="4320"/>
          <w:tab w:val="left" w:pos="5040"/>
          <w:tab w:val="right" w:pos="9360"/>
        </w:tabs>
        <w:ind w:left="5040" w:hanging="5040"/>
        <w:rPr>
          <w:b/>
        </w:rPr>
      </w:pPr>
    </w:p>
    <w:p w14:paraId="39AA6CE9" w14:textId="77777777" w:rsidR="00703CC0" w:rsidRPr="00FE0CDC" w:rsidRDefault="00703CC0" w:rsidP="00703CC0">
      <w:pPr>
        <w:tabs>
          <w:tab w:val="left" w:pos="-90"/>
          <w:tab w:val="left" w:pos="0"/>
        </w:tabs>
        <w:rPr>
          <w:b/>
        </w:rPr>
      </w:pPr>
    </w:p>
    <w:p w14:paraId="5A20F94A" w14:textId="56A302C7" w:rsidR="00703CC0" w:rsidRPr="00FE0CDC" w:rsidRDefault="00703CC0" w:rsidP="00EF79F6">
      <w:pPr>
        <w:tabs>
          <w:tab w:val="left" w:pos="-90"/>
          <w:tab w:val="left" w:pos="0"/>
          <w:tab w:val="left" w:pos="4860"/>
        </w:tabs>
        <w:rPr>
          <w:b/>
          <w:sz w:val="22"/>
          <w:szCs w:val="22"/>
        </w:rPr>
      </w:pPr>
      <w:r w:rsidRPr="00FE0CDC">
        <w:rPr>
          <w:sz w:val="22"/>
          <w:szCs w:val="22"/>
        </w:rPr>
        <w:tab/>
      </w:r>
      <w:r w:rsidRPr="00FE0CDC">
        <w:rPr>
          <w:sz w:val="22"/>
          <w:szCs w:val="22"/>
        </w:rPr>
        <w:tab/>
      </w:r>
      <w:r w:rsidRPr="00FE0CDC">
        <w:rPr>
          <w:sz w:val="22"/>
          <w:szCs w:val="22"/>
        </w:rPr>
        <w:tab/>
      </w:r>
      <w:r w:rsidRPr="00FE0CDC">
        <w:rPr>
          <w:sz w:val="22"/>
          <w:szCs w:val="22"/>
        </w:rPr>
        <w:tab/>
      </w:r>
      <w:r w:rsidRPr="00FE0CDC">
        <w:rPr>
          <w:sz w:val="22"/>
          <w:szCs w:val="22"/>
        </w:rPr>
        <w:tab/>
      </w:r>
      <w:r w:rsidRPr="00FE0CDC">
        <w:rPr>
          <w:sz w:val="22"/>
          <w:szCs w:val="22"/>
        </w:rPr>
        <w:tab/>
        <w:t>____________________________________</w:t>
      </w:r>
      <w:r w:rsidRPr="00FE0CDC">
        <w:rPr>
          <w:sz w:val="22"/>
          <w:szCs w:val="22"/>
        </w:rPr>
        <w:tab/>
      </w:r>
      <w:r w:rsidRPr="00FE0CDC">
        <w:rPr>
          <w:sz w:val="22"/>
          <w:szCs w:val="22"/>
        </w:rPr>
        <w:tab/>
      </w:r>
      <w:r w:rsidRPr="00FE0CDC">
        <w:rPr>
          <w:sz w:val="22"/>
          <w:szCs w:val="22"/>
        </w:rPr>
        <w:tab/>
        <w:t>Honorable Jordan Marlowe, Mayor</w:t>
      </w:r>
    </w:p>
    <w:p w14:paraId="3E087322" w14:textId="77777777" w:rsidR="00703CC0" w:rsidRPr="00FE0CDC" w:rsidRDefault="00703CC0" w:rsidP="00703CC0">
      <w:pPr>
        <w:tabs>
          <w:tab w:val="left" w:pos="-90"/>
          <w:tab w:val="left" w:pos="0"/>
        </w:tabs>
        <w:rPr>
          <w:b/>
          <w:sz w:val="22"/>
          <w:szCs w:val="22"/>
        </w:rPr>
      </w:pPr>
    </w:p>
    <w:p w14:paraId="6535C4BA" w14:textId="77777777" w:rsidR="00703CC0" w:rsidRPr="00FE0CDC" w:rsidRDefault="00703CC0" w:rsidP="00703CC0">
      <w:pPr>
        <w:tabs>
          <w:tab w:val="left" w:pos="-90"/>
          <w:tab w:val="left" w:pos="0"/>
        </w:tabs>
        <w:rPr>
          <w:b/>
          <w:sz w:val="22"/>
          <w:szCs w:val="22"/>
        </w:rPr>
      </w:pPr>
      <w:r w:rsidRPr="00FE0CDC">
        <w:rPr>
          <w:sz w:val="22"/>
          <w:szCs w:val="22"/>
        </w:rPr>
        <w:t>ATTEST, BY THE CLERK OF THE</w:t>
      </w:r>
    </w:p>
    <w:p w14:paraId="5AC90A8E" w14:textId="77777777" w:rsidR="00703CC0" w:rsidRPr="00FE0CDC" w:rsidRDefault="00703CC0" w:rsidP="00703CC0">
      <w:pPr>
        <w:tabs>
          <w:tab w:val="left" w:pos="-90"/>
          <w:tab w:val="left" w:pos="0"/>
        </w:tabs>
        <w:rPr>
          <w:b/>
          <w:sz w:val="22"/>
          <w:szCs w:val="22"/>
        </w:rPr>
      </w:pPr>
      <w:r w:rsidRPr="00FE0CDC">
        <w:rPr>
          <w:sz w:val="22"/>
          <w:szCs w:val="22"/>
        </w:rPr>
        <w:t>CITY COMMISSION OF THE CITY OF</w:t>
      </w:r>
    </w:p>
    <w:p w14:paraId="6DA6D482" w14:textId="77777777" w:rsidR="00703CC0" w:rsidRPr="00FE0CDC" w:rsidRDefault="00703CC0" w:rsidP="00703CC0">
      <w:pPr>
        <w:tabs>
          <w:tab w:val="left" w:pos="-90"/>
          <w:tab w:val="left" w:pos="0"/>
        </w:tabs>
        <w:rPr>
          <w:b/>
          <w:sz w:val="22"/>
          <w:szCs w:val="22"/>
        </w:rPr>
      </w:pPr>
      <w:r w:rsidRPr="00FE0CDC">
        <w:rPr>
          <w:sz w:val="22"/>
          <w:szCs w:val="22"/>
        </w:rPr>
        <w:t>NEWBERRY, FLORIDA:</w:t>
      </w:r>
    </w:p>
    <w:p w14:paraId="343360C9" w14:textId="77777777" w:rsidR="00703CC0" w:rsidRPr="00FE0CDC" w:rsidRDefault="00703CC0" w:rsidP="00703CC0">
      <w:pPr>
        <w:tabs>
          <w:tab w:val="left" w:pos="-90"/>
          <w:tab w:val="left" w:pos="0"/>
        </w:tabs>
        <w:rPr>
          <w:b/>
        </w:rPr>
      </w:pPr>
    </w:p>
    <w:p w14:paraId="3214C5AE" w14:textId="77777777" w:rsidR="00703CC0" w:rsidRPr="00FE0CDC" w:rsidRDefault="00703CC0" w:rsidP="00703CC0">
      <w:pPr>
        <w:tabs>
          <w:tab w:val="left" w:pos="-90"/>
          <w:tab w:val="left" w:pos="0"/>
        </w:tabs>
        <w:rPr>
          <w:b/>
        </w:rPr>
      </w:pPr>
    </w:p>
    <w:p w14:paraId="61F062B3" w14:textId="77777777" w:rsidR="00703CC0" w:rsidRPr="00FE0CDC" w:rsidRDefault="00703CC0" w:rsidP="00703CC0">
      <w:pPr>
        <w:tabs>
          <w:tab w:val="left" w:pos="-90"/>
          <w:tab w:val="left" w:pos="0"/>
        </w:tabs>
        <w:rPr>
          <w:b/>
          <w:sz w:val="22"/>
          <w:szCs w:val="22"/>
        </w:rPr>
      </w:pPr>
      <w:r w:rsidRPr="00FE0CDC">
        <w:rPr>
          <w:sz w:val="22"/>
          <w:szCs w:val="22"/>
        </w:rPr>
        <w:t>____________________________</w:t>
      </w:r>
      <w:r w:rsidRPr="00FE0CDC">
        <w:rPr>
          <w:sz w:val="22"/>
          <w:szCs w:val="22"/>
        </w:rPr>
        <w:tab/>
      </w:r>
    </w:p>
    <w:p w14:paraId="5E075999" w14:textId="77777777" w:rsidR="00703CC0" w:rsidRPr="00FE0CDC" w:rsidRDefault="00703CC0" w:rsidP="00703CC0">
      <w:pPr>
        <w:rPr>
          <w:b/>
          <w:sz w:val="22"/>
          <w:szCs w:val="22"/>
        </w:rPr>
      </w:pPr>
      <w:r w:rsidRPr="00FE0CDC">
        <w:rPr>
          <w:sz w:val="22"/>
          <w:szCs w:val="22"/>
        </w:rPr>
        <w:t>Judy S. Rice, City Clerk</w:t>
      </w:r>
    </w:p>
    <w:p w14:paraId="5B0523FD" w14:textId="77777777" w:rsidR="00703CC0" w:rsidRPr="00FE0CDC" w:rsidRDefault="00703CC0" w:rsidP="00703CC0">
      <w:pPr>
        <w:rPr>
          <w:b/>
          <w:sz w:val="22"/>
          <w:szCs w:val="22"/>
        </w:rPr>
      </w:pPr>
    </w:p>
    <w:p w14:paraId="6F427FD7" w14:textId="77777777" w:rsidR="00703CC0" w:rsidRPr="00FE0CDC" w:rsidRDefault="00703CC0" w:rsidP="00703CC0">
      <w:pPr>
        <w:rPr>
          <w:b/>
          <w:sz w:val="22"/>
          <w:szCs w:val="22"/>
        </w:rPr>
      </w:pPr>
    </w:p>
    <w:p w14:paraId="652F60A0" w14:textId="77777777" w:rsidR="00703CC0" w:rsidRPr="00F7220F" w:rsidRDefault="00703CC0" w:rsidP="00703CC0">
      <w:pPr>
        <w:widowControl w:val="0"/>
        <w:autoSpaceDE/>
        <w:autoSpaceDN/>
        <w:adjustRightInd/>
        <w:jc w:val="both"/>
        <w:rPr>
          <w:snapToGrid w:val="0"/>
          <w:color w:val="000000"/>
          <w:sz w:val="24"/>
          <w:szCs w:val="24"/>
        </w:rPr>
      </w:pPr>
      <w:r w:rsidRPr="00F7220F">
        <w:rPr>
          <w:snapToGrid w:val="0"/>
          <w:color w:val="000000"/>
          <w:sz w:val="24"/>
          <w:szCs w:val="24"/>
        </w:rPr>
        <w:t xml:space="preserve">APPROVED AS TO FORM AND </w:t>
      </w:r>
    </w:p>
    <w:p w14:paraId="659ACE56" w14:textId="77777777" w:rsidR="00703CC0" w:rsidRPr="00F7220F" w:rsidRDefault="00703CC0" w:rsidP="00703CC0">
      <w:pPr>
        <w:widowControl w:val="0"/>
        <w:autoSpaceDE/>
        <w:autoSpaceDN/>
        <w:adjustRightInd/>
        <w:jc w:val="both"/>
        <w:rPr>
          <w:snapToGrid w:val="0"/>
          <w:color w:val="000000"/>
          <w:sz w:val="24"/>
          <w:szCs w:val="24"/>
        </w:rPr>
      </w:pPr>
      <w:r w:rsidRPr="00F7220F">
        <w:rPr>
          <w:snapToGrid w:val="0"/>
          <w:color w:val="000000"/>
          <w:sz w:val="24"/>
          <w:szCs w:val="24"/>
        </w:rPr>
        <w:t>LEGALITY:</w:t>
      </w:r>
    </w:p>
    <w:p w14:paraId="7EEAAEE0" w14:textId="77777777" w:rsidR="00703CC0" w:rsidRPr="00F7220F" w:rsidRDefault="00703CC0" w:rsidP="00703CC0">
      <w:pPr>
        <w:widowControl w:val="0"/>
        <w:autoSpaceDE/>
        <w:autoSpaceDN/>
        <w:adjustRightInd/>
        <w:jc w:val="both"/>
        <w:rPr>
          <w:snapToGrid w:val="0"/>
          <w:color w:val="000000"/>
          <w:sz w:val="24"/>
          <w:szCs w:val="24"/>
        </w:rPr>
      </w:pPr>
    </w:p>
    <w:p w14:paraId="0C43CE53" w14:textId="77777777" w:rsidR="00703CC0" w:rsidRPr="00F7220F" w:rsidRDefault="00703CC0" w:rsidP="00703CC0">
      <w:pPr>
        <w:widowControl w:val="0"/>
        <w:autoSpaceDE/>
        <w:autoSpaceDN/>
        <w:adjustRightInd/>
        <w:jc w:val="both"/>
        <w:rPr>
          <w:snapToGrid w:val="0"/>
          <w:color w:val="000000"/>
          <w:sz w:val="24"/>
          <w:szCs w:val="24"/>
        </w:rPr>
      </w:pPr>
      <w:r w:rsidRPr="00F7220F">
        <w:rPr>
          <w:snapToGrid w:val="0"/>
          <w:color w:val="000000"/>
          <w:sz w:val="24"/>
          <w:szCs w:val="24"/>
        </w:rPr>
        <w:t>____________________________</w:t>
      </w:r>
    </w:p>
    <w:p w14:paraId="204EFEE0" w14:textId="77777777" w:rsidR="00703CC0" w:rsidRPr="00F7220F" w:rsidRDefault="00703CC0" w:rsidP="00703CC0">
      <w:pPr>
        <w:widowControl w:val="0"/>
        <w:autoSpaceDE/>
        <w:autoSpaceDN/>
        <w:adjustRightInd/>
        <w:jc w:val="both"/>
        <w:rPr>
          <w:snapToGrid w:val="0"/>
          <w:color w:val="000000"/>
          <w:sz w:val="24"/>
          <w:szCs w:val="24"/>
        </w:rPr>
      </w:pPr>
      <w:r w:rsidRPr="00F7220F">
        <w:rPr>
          <w:snapToGrid w:val="0"/>
          <w:color w:val="000000"/>
          <w:sz w:val="24"/>
          <w:szCs w:val="24"/>
        </w:rPr>
        <w:t>City Attorney’s Office</w:t>
      </w:r>
    </w:p>
    <w:sectPr w:rsidR="00703CC0" w:rsidRPr="00F7220F" w:rsidSect="00C91EE2">
      <w:headerReference w:type="even" r:id="rId6"/>
      <w:headerReference w:type="default" r:id="rId7"/>
      <w:footerReference w:type="even" r:id="rId8"/>
      <w:footerReference w:type="default" r:id="rId9"/>
      <w:headerReference w:type="first" r:id="rId10"/>
      <w:footerReference w:type="first" r:id="rId11"/>
      <w:pgSz w:w="12240" w:h="15840" w:code="1"/>
      <w:pgMar w:top="990" w:right="1440" w:bottom="162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2D2E" w14:textId="77777777" w:rsidR="00D34B55" w:rsidRDefault="00D34B55">
      <w:r>
        <w:separator/>
      </w:r>
    </w:p>
  </w:endnote>
  <w:endnote w:type="continuationSeparator" w:id="0">
    <w:p w14:paraId="018DC658" w14:textId="77777777" w:rsidR="00D34B55" w:rsidRDefault="00D3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F4C6" w14:textId="439631B2" w:rsidR="00E2444C" w:rsidRDefault="00E2444C" w:rsidP="002D1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40D">
      <w:rPr>
        <w:rStyle w:val="PageNumber"/>
        <w:noProof/>
      </w:rPr>
      <w:t>3</w:t>
    </w:r>
    <w:r>
      <w:rPr>
        <w:rStyle w:val="PageNumber"/>
      </w:rPr>
      <w:fldChar w:fldCharType="end"/>
    </w:r>
  </w:p>
  <w:p w14:paraId="62402858" w14:textId="77777777" w:rsidR="00E2444C" w:rsidRDefault="00E24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EDA1" w14:textId="77777777" w:rsidR="00E2444C" w:rsidRPr="00C800BA" w:rsidRDefault="00E2444C" w:rsidP="002D127B">
    <w:pPr>
      <w:pStyle w:val="Footer"/>
      <w:framePr w:wrap="around" w:vAnchor="text" w:hAnchor="margin" w:xAlign="center" w:y="1"/>
      <w:rPr>
        <w:rStyle w:val="PageNumber"/>
        <w:b/>
        <w:sz w:val="24"/>
        <w:szCs w:val="24"/>
      </w:rPr>
    </w:pPr>
    <w:r w:rsidRPr="00C800BA">
      <w:rPr>
        <w:rStyle w:val="PageNumber"/>
        <w:b/>
        <w:sz w:val="24"/>
        <w:szCs w:val="24"/>
      </w:rPr>
      <w:fldChar w:fldCharType="begin"/>
    </w:r>
    <w:r w:rsidRPr="00C800BA">
      <w:rPr>
        <w:rStyle w:val="PageNumber"/>
        <w:b/>
        <w:sz w:val="24"/>
        <w:szCs w:val="24"/>
      </w:rPr>
      <w:instrText xml:space="preserve">PAGE  </w:instrText>
    </w:r>
    <w:r w:rsidRPr="00C800BA">
      <w:rPr>
        <w:rStyle w:val="PageNumber"/>
        <w:b/>
        <w:sz w:val="24"/>
        <w:szCs w:val="24"/>
      </w:rPr>
      <w:fldChar w:fldCharType="separate"/>
    </w:r>
    <w:r w:rsidR="00D75672">
      <w:rPr>
        <w:rStyle w:val="PageNumber"/>
        <w:b/>
        <w:noProof/>
        <w:sz w:val="24"/>
        <w:szCs w:val="24"/>
      </w:rPr>
      <w:t>2</w:t>
    </w:r>
    <w:r w:rsidRPr="00C800BA">
      <w:rPr>
        <w:rStyle w:val="PageNumber"/>
        <w:b/>
        <w:sz w:val="24"/>
        <w:szCs w:val="24"/>
      </w:rPr>
      <w:fldChar w:fldCharType="end"/>
    </w:r>
  </w:p>
  <w:p w14:paraId="4CC50098" w14:textId="77777777" w:rsidR="00A15057" w:rsidRDefault="00A15057">
    <w:pPr>
      <w:pStyle w:val="Footer"/>
    </w:pPr>
  </w:p>
  <w:p w14:paraId="3CB4AF85" w14:textId="6814641F" w:rsidR="00A15057" w:rsidRDefault="00D75672">
    <w:pPr>
      <w:pStyle w:val="Footer"/>
    </w:pPr>
    <w:r>
      <w:t xml:space="preserve">Planning &amp; Zoning Board </w:t>
    </w:r>
    <w:r w:rsidR="00022497">
      <w:t>01</w:t>
    </w:r>
    <w:r>
      <w:t>/</w:t>
    </w:r>
    <w:r w:rsidR="00022497">
      <w:t>0</w:t>
    </w:r>
    <w:r w:rsidR="00B5289B">
      <w:t>2</w:t>
    </w:r>
    <w:r>
      <w:t>/20</w:t>
    </w:r>
    <w:r w:rsidR="002F348B">
      <w:t>2</w:t>
    </w:r>
    <w:r w:rsidR="00B5289B">
      <w:t>4</w:t>
    </w:r>
  </w:p>
  <w:p w14:paraId="7ABE5528" w14:textId="5223A010" w:rsidR="00E2444C" w:rsidRDefault="00E2444C" w:rsidP="00FB02A3">
    <w:pPr>
      <w:pStyle w:val="Footer"/>
      <w:tabs>
        <w:tab w:val="clear" w:pos="4320"/>
        <w:tab w:val="clear" w:pos="8640"/>
        <w:tab w:val="right" w:pos="9090"/>
      </w:tabs>
    </w:pPr>
    <w:r>
      <w:t xml:space="preserve">City Commission First Reading </w:t>
    </w:r>
    <w:r w:rsidR="00022497">
      <w:t>01</w:t>
    </w:r>
    <w:r w:rsidR="00DE7CAF">
      <w:t>/</w:t>
    </w:r>
    <w:r w:rsidR="00B5289B">
      <w:t>08</w:t>
    </w:r>
    <w:r w:rsidR="00DE7CAF">
      <w:t>/20</w:t>
    </w:r>
    <w:r w:rsidR="002F348B">
      <w:t>2</w:t>
    </w:r>
    <w:r w:rsidR="00B5289B">
      <w:t>4</w:t>
    </w:r>
    <w:r w:rsidR="00FB02A3">
      <w:tab/>
      <w:t>Ordinance 202</w:t>
    </w:r>
    <w:r w:rsidR="00531E55">
      <w:t>4-04</w:t>
    </w:r>
  </w:p>
  <w:p w14:paraId="72D5E98C" w14:textId="251217DF" w:rsidR="008A2188" w:rsidRDefault="008A2188" w:rsidP="00FB02A3">
    <w:pPr>
      <w:pStyle w:val="Footer"/>
      <w:tabs>
        <w:tab w:val="clear" w:pos="4320"/>
        <w:tab w:val="clear" w:pos="8640"/>
        <w:tab w:val="right" w:pos="9090"/>
      </w:tabs>
    </w:pPr>
    <w:r>
      <w:t xml:space="preserve">City Commission Second Reading/Enactment </w:t>
    </w:r>
    <w:r w:rsidR="00022497">
      <w:t>0</w:t>
    </w:r>
    <w:r w:rsidR="00531E55">
      <w:t>1</w:t>
    </w:r>
    <w:r>
      <w:t>/</w:t>
    </w:r>
    <w:r w:rsidR="00531E55">
      <w:t>22</w:t>
    </w:r>
    <w:r>
      <w:t>/</w:t>
    </w:r>
    <w:r w:rsidR="002F348B">
      <w:t>202</w:t>
    </w:r>
    <w:r w:rsidR="00531E55">
      <w:t>4</w:t>
    </w:r>
    <w:r w:rsidR="00FB02A3">
      <w:tab/>
    </w:r>
    <w:r w:rsidR="00076B6D">
      <w:t>CPA</w:t>
    </w:r>
    <w:r w:rsidR="00FB02A3">
      <w:t xml:space="preserve"> 2</w:t>
    </w:r>
    <w:r w:rsidR="00531E55">
      <w:t>4</w:t>
    </w:r>
    <w:r w:rsidR="00FB02A3">
      <w:t>-</w:t>
    </w:r>
    <w:r w:rsidR="00E41FEB">
      <w:t>0</w:t>
    </w:r>
    <w:r w:rsidR="00531E55">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7F3" w14:textId="3AB6E077" w:rsidR="00C91EE2" w:rsidRDefault="00C91EE2">
    <w:pPr>
      <w:pStyle w:val="Footer"/>
    </w:pPr>
    <w:r>
      <w:rPr>
        <w:noProof/>
      </w:rPr>
      <w:pict w14:anchorId="7E032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31484" o:spid="_x0000_s1025" type="#_x0000_t136" style="position:absolute;margin-left:-62.4pt;margin-top:427.2pt;width:571.8pt;height:87.95pt;rotation:315;z-index:-251657216;mso-position-horizontal-relative:margin;mso-position-vertical-relative:margin" o:allowincell="f" fillcolor="#747070 [1614]" stroked="f">
          <v:fill opacity=".5"/>
          <v:textpath style="font-family:&quot;Times New Roman&quot;;font-size:1pt" string="FIRST READING"/>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B090" w14:textId="77777777" w:rsidR="00D34B55" w:rsidRDefault="00D34B55">
      <w:r>
        <w:separator/>
      </w:r>
    </w:p>
  </w:footnote>
  <w:footnote w:type="continuationSeparator" w:id="0">
    <w:p w14:paraId="36A8F83F" w14:textId="77777777" w:rsidR="00D34B55" w:rsidRDefault="00D3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F1CC" w14:textId="4FD12E72" w:rsidR="00C91EE2" w:rsidRDefault="00C91EE2">
    <w:pPr>
      <w:pStyle w:val="Header"/>
    </w:pPr>
    <w:r>
      <w:rPr>
        <w:noProof/>
      </w:rPr>
      <w:pict w14:anchorId="00DA3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31485" o:spid="_x0000_s1026" type="#_x0000_t136" style="position:absolute;margin-left:0;margin-top:0;width:571.8pt;height:87.95pt;rotation:315;z-index:-251655168;mso-position-horizontal:center;mso-position-horizontal-relative:margin;mso-position-vertical:center;mso-position-vertical-relative:margin" o:allowincell="f" fillcolor="#747070 [1614]" stroked="f">
          <v:fill opacity=".5"/>
          <v:textpath style="font-family:&quot;Times New Roman&quot;;font-size:1pt" string="FIRST READ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A3AC" w14:textId="0EF6B76C" w:rsidR="00C91EE2" w:rsidRDefault="00C91EE2">
    <w:pPr>
      <w:pStyle w:val="Header"/>
    </w:pPr>
    <w:r>
      <w:rPr>
        <w:noProof/>
      </w:rPr>
      <w:pict w14:anchorId="5CA3B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31486" o:spid="_x0000_s1027" type="#_x0000_t136" style="position:absolute;margin-left:0;margin-top:0;width:571.8pt;height:87.95pt;rotation:315;z-index:-251653120;mso-position-horizontal:center;mso-position-horizontal-relative:margin;mso-position-vertical:center;mso-position-vertical-relative:margin" o:allowincell="f" fillcolor="#747070 [1614]" stroked="f">
          <v:fill opacity=".5"/>
          <v:textpath style="font-family:&quot;Times New Roman&quot;;font-size:1pt" string="FIRST READ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ACB5" w14:textId="77777777" w:rsidR="00C91EE2" w:rsidRDefault="00C91EE2" w:rsidP="00C91EE2">
    <w:pPr>
      <w:pStyle w:val="Header"/>
      <w:jc w:val="center"/>
      <w:rPr>
        <w:b/>
        <w:bCs/>
        <w:sz w:val="24"/>
        <w:szCs w:val="24"/>
      </w:rPr>
    </w:pPr>
    <w:r w:rsidRPr="0058236B">
      <w:rPr>
        <w:b/>
        <w:bCs/>
        <w:sz w:val="24"/>
        <w:szCs w:val="24"/>
      </w:rPr>
      <w:t>FIRST READING: FOR ATTORNEY ONLY. NOT FOR SIGNATURE</w:t>
    </w:r>
    <w:r>
      <w:rPr>
        <w:b/>
        <w:bCs/>
        <w:sz w:val="24"/>
        <w:szCs w:val="24"/>
      </w:rPr>
      <w:t>!</w:t>
    </w:r>
  </w:p>
  <w:p w14:paraId="3BB55587" w14:textId="548984C2" w:rsidR="00C91EE2" w:rsidRDefault="00C91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E6"/>
    <w:rsid w:val="00022497"/>
    <w:rsid w:val="00031808"/>
    <w:rsid w:val="00067242"/>
    <w:rsid w:val="00076B6D"/>
    <w:rsid w:val="00083140"/>
    <w:rsid w:val="00094B94"/>
    <w:rsid w:val="00096DD0"/>
    <w:rsid w:val="000A4015"/>
    <w:rsid w:val="000B440D"/>
    <w:rsid w:val="000B6BE3"/>
    <w:rsid w:val="000C1C8C"/>
    <w:rsid w:val="000D3267"/>
    <w:rsid w:val="000E1E51"/>
    <w:rsid w:val="000E3EAE"/>
    <w:rsid w:val="000F1E2E"/>
    <w:rsid w:val="000F5FE1"/>
    <w:rsid w:val="00100545"/>
    <w:rsid w:val="00103ED5"/>
    <w:rsid w:val="001070F3"/>
    <w:rsid w:val="001128C0"/>
    <w:rsid w:val="0011798A"/>
    <w:rsid w:val="00133349"/>
    <w:rsid w:val="00145D78"/>
    <w:rsid w:val="001502C6"/>
    <w:rsid w:val="00183F49"/>
    <w:rsid w:val="00190204"/>
    <w:rsid w:val="001902B5"/>
    <w:rsid w:val="00197D54"/>
    <w:rsid w:val="001A1147"/>
    <w:rsid w:val="001A4B33"/>
    <w:rsid w:val="001B0420"/>
    <w:rsid w:val="001B6A0B"/>
    <w:rsid w:val="001C4AC0"/>
    <w:rsid w:val="001D6459"/>
    <w:rsid w:val="001E1C52"/>
    <w:rsid w:val="001F2C9C"/>
    <w:rsid w:val="00205188"/>
    <w:rsid w:val="00207203"/>
    <w:rsid w:val="00207E18"/>
    <w:rsid w:val="0021123E"/>
    <w:rsid w:val="00211AEE"/>
    <w:rsid w:val="00241BED"/>
    <w:rsid w:val="00260CF5"/>
    <w:rsid w:val="00271E0B"/>
    <w:rsid w:val="0027263F"/>
    <w:rsid w:val="0027265E"/>
    <w:rsid w:val="00273295"/>
    <w:rsid w:val="00277262"/>
    <w:rsid w:val="00285D8E"/>
    <w:rsid w:val="002A61DE"/>
    <w:rsid w:val="002D127B"/>
    <w:rsid w:val="002E5D1C"/>
    <w:rsid w:val="002E7FB8"/>
    <w:rsid w:val="002F00FC"/>
    <w:rsid w:val="002F0A3A"/>
    <w:rsid w:val="002F1FFD"/>
    <w:rsid w:val="002F346B"/>
    <w:rsid w:val="002F348B"/>
    <w:rsid w:val="002F5D8F"/>
    <w:rsid w:val="00305BA1"/>
    <w:rsid w:val="00316CE6"/>
    <w:rsid w:val="00317AA6"/>
    <w:rsid w:val="003209D8"/>
    <w:rsid w:val="003214F0"/>
    <w:rsid w:val="00322F08"/>
    <w:rsid w:val="00342917"/>
    <w:rsid w:val="00346B66"/>
    <w:rsid w:val="003474A1"/>
    <w:rsid w:val="00347A19"/>
    <w:rsid w:val="003651D6"/>
    <w:rsid w:val="00382AE1"/>
    <w:rsid w:val="00384C45"/>
    <w:rsid w:val="003A0292"/>
    <w:rsid w:val="003B5F71"/>
    <w:rsid w:val="003C3252"/>
    <w:rsid w:val="003C7188"/>
    <w:rsid w:val="003D56BE"/>
    <w:rsid w:val="003E4912"/>
    <w:rsid w:val="003F797E"/>
    <w:rsid w:val="00401E62"/>
    <w:rsid w:val="00401EE8"/>
    <w:rsid w:val="00416781"/>
    <w:rsid w:val="00422666"/>
    <w:rsid w:val="00423DE7"/>
    <w:rsid w:val="00433290"/>
    <w:rsid w:val="00433790"/>
    <w:rsid w:val="00460718"/>
    <w:rsid w:val="00466D8F"/>
    <w:rsid w:val="00467694"/>
    <w:rsid w:val="00471F1B"/>
    <w:rsid w:val="00472129"/>
    <w:rsid w:val="00482743"/>
    <w:rsid w:val="00491CAD"/>
    <w:rsid w:val="00494C4B"/>
    <w:rsid w:val="004B5392"/>
    <w:rsid w:val="004C752B"/>
    <w:rsid w:val="004C7D5F"/>
    <w:rsid w:val="0050194B"/>
    <w:rsid w:val="00501D99"/>
    <w:rsid w:val="00520685"/>
    <w:rsid w:val="00531E55"/>
    <w:rsid w:val="005341E5"/>
    <w:rsid w:val="00554978"/>
    <w:rsid w:val="005867D0"/>
    <w:rsid w:val="00595D11"/>
    <w:rsid w:val="005B10B8"/>
    <w:rsid w:val="005B3AAD"/>
    <w:rsid w:val="005C3EB9"/>
    <w:rsid w:val="005D2DCC"/>
    <w:rsid w:val="005D7DE2"/>
    <w:rsid w:val="0061556F"/>
    <w:rsid w:val="006203A9"/>
    <w:rsid w:val="006264F0"/>
    <w:rsid w:val="00634119"/>
    <w:rsid w:val="00636D88"/>
    <w:rsid w:val="00641613"/>
    <w:rsid w:val="006420DB"/>
    <w:rsid w:val="0065257E"/>
    <w:rsid w:val="006655BA"/>
    <w:rsid w:val="006A7550"/>
    <w:rsid w:val="006B31AE"/>
    <w:rsid w:val="006B3BE9"/>
    <w:rsid w:val="006D0648"/>
    <w:rsid w:val="006F1E66"/>
    <w:rsid w:val="00701549"/>
    <w:rsid w:val="00703CC0"/>
    <w:rsid w:val="00714203"/>
    <w:rsid w:val="00720BAA"/>
    <w:rsid w:val="007425C3"/>
    <w:rsid w:val="00745F7C"/>
    <w:rsid w:val="007759B0"/>
    <w:rsid w:val="00776855"/>
    <w:rsid w:val="00780038"/>
    <w:rsid w:val="00781CA2"/>
    <w:rsid w:val="00783EB8"/>
    <w:rsid w:val="00795737"/>
    <w:rsid w:val="007A41D8"/>
    <w:rsid w:val="007A58E2"/>
    <w:rsid w:val="007A5B8A"/>
    <w:rsid w:val="007B6E37"/>
    <w:rsid w:val="007F287C"/>
    <w:rsid w:val="008139E9"/>
    <w:rsid w:val="00825472"/>
    <w:rsid w:val="008318DF"/>
    <w:rsid w:val="00834E39"/>
    <w:rsid w:val="00842D9A"/>
    <w:rsid w:val="00845F85"/>
    <w:rsid w:val="00846D16"/>
    <w:rsid w:val="0085313D"/>
    <w:rsid w:val="00854A08"/>
    <w:rsid w:val="00863A16"/>
    <w:rsid w:val="00864F2C"/>
    <w:rsid w:val="00865383"/>
    <w:rsid w:val="0088681F"/>
    <w:rsid w:val="008A2188"/>
    <w:rsid w:val="008A2FC4"/>
    <w:rsid w:val="008B13F5"/>
    <w:rsid w:val="008B507E"/>
    <w:rsid w:val="008C2D5A"/>
    <w:rsid w:val="008C5CBA"/>
    <w:rsid w:val="008D2FBC"/>
    <w:rsid w:val="008D4DE8"/>
    <w:rsid w:val="008E4BEE"/>
    <w:rsid w:val="008E4E7F"/>
    <w:rsid w:val="008E7CB3"/>
    <w:rsid w:val="008F1F23"/>
    <w:rsid w:val="008F5B29"/>
    <w:rsid w:val="009124D0"/>
    <w:rsid w:val="00912DC7"/>
    <w:rsid w:val="00942375"/>
    <w:rsid w:val="00966F28"/>
    <w:rsid w:val="00974B13"/>
    <w:rsid w:val="009811FC"/>
    <w:rsid w:val="00982568"/>
    <w:rsid w:val="009858FD"/>
    <w:rsid w:val="009933EC"/>
    <w:rsid w:val="009A1585"/>
    <w:rsid w:val="009B40AF"/>
    <w:rsid w:val="009C0A6C"/>
    <w:rsid w:val="009C0E23"/>
    <w:rsid w:val="009C3399"/>
    <w:rsid w:val="009D3D23"/>
    <w:rsid w:val="009E30A1"/>
    <w:rsid w:val="009F10BB"/>
    <w:rsid w:val="009F1653"/>
    <w:rsid w:val="00A0785C"/>
    <w:rsid w:val="00A12F8B"/>
    <w:rsid w:val="00A15057"/>
    <w:rsid w:val="00A22AA8"/>
    <w:rsid w:val="00A268B3"/>
    <w:rsid w:val="00A26964"/>
    <w:rsid w:val="00A33EE1"/>
    <w:rsid w:val="00A351C5"/>
    <w:rsid w:val="00A60C98"/>
    <w:rsid w:val="00A63358"/>
    <w:rsid w:val="00A83979"/>
    <w:rsid w:val="00A90B4F"/>
    <w:rsid w:val="00AA2903"/>
    <w:rsid w:val="00AB175A"/>
    <w:rsid w:val="00AB1A17"/>
    <w:rsid w:val="00AC00D7"/>
    <w:rsid w:val="00AC3F69"/>
    <w:rsid w:val="00AC428E"/>
    <w:rsid w:val="00AC6969"/>
    <w:rsid w:val="00AD170A"/>
    <w:rsid w:val="00AD5B2F"/>
    <w:rsid w:val="00AE189E"/>
    <w:rsid w:val="00AF178E"/>
    <w:rsid w:val="00B02F7C"/>
    <w:rsid w:val="00B12AE6"/>
    <w:rsid w:val="00B168D4"/>
    <w:rsid w:val="00B24119"/>
    <w:rsid w:val="00B2770E"/>
    <w:rsid w:val="00B30757"/>
    <w:rsid w:val="00B325FC"/>
    <w:rsid w:val="00B34505"/>
    <w:rsid w:val="00B36BD3"/>
    <w:rsid w:val="00B435D0"/>
    <w:rsid w:val="00B45A2F"/>
    <w:rsid w:val="00B5289B"/>
    <w:rsid w:val="00B52B6D"/>
    <w:rsid w:val="00B57DDF"/>
    <w:rsid w:val="00B61975"/>
    <w:rsid w:val="00B6256E"/>
    <w:rsid w:val="00B638AA"/>
    <w:rsid w:val="00B8454B"/>
    <w:rsid w:val="00B84D5E"/>
    <w:rsid w:val="00B96D7E"/>
    <w:rsid w:val="00BA64CF"/>
    <w:rsid w:val="00BA712A"/>
    <w:rsid w:val="00BC0A15"/>
    <w:rsid w:val="00BC2201"/>
    <w:rsid w:val="00BE5AFE"/>
    <w:rsid w:val="00BF370C"/>
    <w:rsid w:val="00C33DD3"/>
    <w:rsid w:val="00C456CF"/>
    <w:rsid w:val="00C46769"/>
    <w:rsid w:val="00C52256"/>
    <w:rsid w:val="00C57D19"/>
    <w:rsid w:val="00C57EF6"/>
    <w:rsid w:val="00C61279"/>
    <w:rsid w:val="00C6399B"/>
    <w:rsid w:val="00C65B96"/>
    <w:rsid w:val="00C77153"/>
    <w:rsid w:val="00C800BA"/>
    <w:rsid w:val="00C84CDA"/>
    <w:rsid w:val="00C8621B"/>
    <w:rsid w:val="00C90298"/>
    <w:rsid w:val="00C91EE2"/>
    <w:rsid w:val="00C94332"/>
    <w:rsid w:val="00CA6218"/>
    <w:rsid w:val="00CA7D0E"/>
    <w:rsid w:val="00CB043A"/>
    <w:rsid w:val="00CC7D7F"/>
    <w:rsid w:val="00CD3659"/>
    <w:rsid w:val="00CE410D"/>
    <w:rsid w:val="00CF245D"/>
    <w:rsid w:val="00CF71D9"/>
    <w:rsid w:val="00D1057E"/>
    <w:rsid w:val="00D17E87"/>
    <w:rsid w:val="00D34B55"/>
    <w:rsid w:val="00D467E5"/>
    <w:rsid w:val="00D46AD7"/>
    <w:rsid w:val="00D53641"/>
    <w:rsid w:val="00D72E3B"/>
    <w:rsid w:val="00D75672"/>
    <w:rsid w:val="00D87864"/>
    <w:rsid w:val="00D90881"/>
    <w:rsid w:val="00D92C86"/>
    <w:rsid w:val="00D939BA"/>
    <w:rsid w:val="00D94A8D"/>
    <w:rsid w:val="00D96AE8"/>
    <w:rsid w:val="00D975C6"/>
    <w:rsid w:val="00DA3EE2"/>
    <w:rsid w:val="00DB1702"/>
    <w:rsid w:val="00DE470D"/>
    <w:rsid w:val="00DE7CAF"/>
    <w:rsid w:val="00DF1D16"/>
    <w:rsid w:val="00E04F01"/>
    <w:rsid w:val="00E05AE9"/>
    <w:rsid w:val="00E07645"/>
    <w:rsid w:val="00E10A72"/>
    <w:rsid w:val="00E179AE"/>
    <w:rsid w:val="00E2444C"/>
    <w:rsid w:val="00E25366"/>
    <w:rsid w:val="00E25475"/>
    <w:rsid w:val="00E27D5E"/>
    <w:rsid w:val="00E30B19"/>
    <w:rsid w:val="00E37BD8"/>
    <w:rsid w:val="00E41FEB"/>
    <w:rsid w:val="00E5231C"/>
    <w:rsid w:val="00E75D54"/>
    <w:rsid w:val="00E77803"/>
    <w:rsid w:val="00E77D8D"/>
    <w:rsid w:val="00E80B74"/>
    <w:rsid w:val="00E8200A"/>
    <w:rsid w:val="00E90439"/>
    <w:rsid w:val="00E91EB0"/>
    <w:rsid w:val="00E929B2"/>
    <w:rsid w:val="00EA26C3"/>
    <w:rsid w:val="00EA3F3F"/>
    <w:rsid w:val="00EA78DD"/>
    <w:rsid w:val="00EB1F5F"/>
    <w:rsid w:val="00EC0D92"/>
    <w:rsid w:val="00ED2F3D"/>
    <w:rsid w:val="00ED601E"/>
    <w:rsid w:val="00EE504A"/>
    <w:rsid w:val="00EF6B19"/>
    <w:rsid w:val="00EF79F6"/>
    <w:rsid w:val="00F024F2"/>
    <w:rsid w:val="00F10778"/>
    <w:rsid w:val="00F30E74"/>
    <w:rsid w:val="00F53B39"/>
    <w:rsid w:val="00F60911"/>
    <w:rsid w:val="00F65D99"/>
    <w:rsid w:val="00F82200"/>
    <w:rsid w:val="00F92CBC"/>
    <w:rsid w:val="00F95329"/>
    <w:rsid w:val="00FA0CE0"/>
    <w:rsid w:val="00FA50A4"/>
    <w:rsid w:val="00FB02A3"/>
    <w:rsid w:val="00FB176B"/>
    <w:rsid w:val="00FB3F67"/>
    <w:rsid w:val="00FB7673"/>
    <w:rsid w:val="00FC0839"/>
    <w:rsid w:val="00FC3C54"/>
    <w:rsid w:val="00FC4645"/>
    <w:rsid w:val="00FF0C4F"/>
    <w:rsid w:val="00FF6C51"/>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8AB73"/>
  <w15:chartTrackingRefBased/>
  <w15:docId w15:val="{5E3CB987-BFBC-43B1-9A15-C5305408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CE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16CE6"/>
    <w:pPr>
      <w:tabs>
        <w:tab w:val="center" w:pos="4320"/>
        <w:tab w:val="right" w:pos="8640"/>
      </w:tabs>
    </w:pPr>
  </w:style>
  <w:style w:type="character" w:styleId="PageNumber">
    <w:name w:val="page number"/>
    <w:basedOn w:val="DefaultParagraphFont"/>
    <w:rsid w:val="00316CE6"/>
  </w:style>
  <w:style w:type="paragraph" w:styleId="Header">
    <w:name w:val="header"/>
    <w:basedOn w:val="Normal"/>
    <w:link w:val="HeaderChar"/>
    <w:rsid w:val="009E30A1"/>
    <w:pPr>
      <w:tabs>
        <w:tab w:val="center" w:pos="4320"/>
        <w:tab w:val="right" w:pos="8640"/>
      </w:tabs>
    </w:pPr>
  </w:style>
  <w:style w:type="character" w:styleId="Hyperlink">
    <w:name w:val="Hyperlink"/>
    <w:rsid w:val="00423DE7"/>
    <w:rPr>
      <w:color w:val="0563C1"/>
      <w:u w:val="single"/>
    </w:rPr>
  </w:style>
  <w:style w:type="paragraph" w:styleId="BalloonText">
    <w:name w:val="Balloon Text"/>
    <w:basedOn w:val="Normal"/>
    <w:link w:val="BalloonTextChar"/>
    <w:rsid w:val="00D75672"/>
    <w:rPr>
      <w:rFonts w:ascii="Segoe UI" w:hAnsi="Segoe UI" w:cs="Segoe UI"/>
      <w:sz w:val="18"/>
      <w:szCs w:val="18"/>
    </w:rPr>
  </w:style>
  <w:style w:type="character" w:customStyle="1" w:styleId="BalloonTextChar">
    <w:name w:val="Balloon Text Char"/>
    <w:link w:val="BalloonText"/>
    <w:rsid w:val="00D75672"/>
    <w:rPr>
      <w:rFonts w:ascii="Segoe UI" w:hAnsi="Segoe UI" w:cs="Segoe UI"/>
      <w:sz w:val="18"/>
      <w:szCs w:val="18"/>
    </w:rPr>
  </w:style>
  <w:style w:type="paragraph" w:styleId="BodyText">
    <w:name w:val="Body Text"/>
    <w:basedOn w:val="Normal"/>
    <w:link w:val="BodyTextChar"/>
    <w:uiPriority w:val="1"/>
    <w:qFormat/>
    <w:rsid w:val="007B6E37"/>
    <w:pPr>
      <w:widowControl w:val="0"/>
      <w:adjustRightInd/>
    </w:pPr>
    <w:rPr>
      <w:sz w:val="24"/>
      <w:szCs w:val="24"/>
    </w:rPr>
  </w:style>
  <w:style w:type="character" w:customStyle="1" w:styleId="BodyTextChar">
    <w:name w:val="Body Text Char"/>
    <w:link w:val="BodyText"/>
    <w:uiPriority w:val="1"/>
    <w:rsid w:val="007B6E37"/>
    <w:rPr>
      <w:sz w:val="24"/>
      <w:szCs w:val="24"/>
    </w:rPr>
  </w:style>
  <w:style w:type="character" w:styleId="CommentReference">
    <w:name w:val="annotation reference"/>
    <w:basedOn w:val="DefaultParagraphFont"/>
    <w:rsid w:val="00745F7C"/>
    <w:rPr>
      <w:sz w:val="16"/>
      <w:szCs w:val="16"/>
    </w:rPr>
  </w:style>
  <w:style w:type="paragraph" w:styleId="CommentText">
    <w:name w:val="annotation text"/>
    <w:basedOn w:val="Normal"/>
    <w:link w:val="CommentTextChar"/>
    <w:rsid w:val="00745F7C"/>
  </w:style>
  <w:style w:type="character" w:customStyle="1" w:styleId="CommentTextChar">
    <w:name w:val="Comment Text Char"/>
    <w:basedOn w:val="DefaultParagraphFont"/>
    <w:link w:val="CommentText"/>
    <w:rsid w:val="00745F7C"/>
  </w:style>
  <w:style w:type="paragraph" w:styleId="CommentSubject">
    <w:name w:val="annotation subject"/>
    <w:basedOn w:val="CommentText"/>
    <w:next w:val="CommentText"/>
    <w:link w:val="CommentSubjectChar"/>
    <w:rsid w:val="00745F7C"/>
    <w:rPr>
      <w:b/>
      <w:bCs/>
    </w:rPr>
  </w:style>
  <w:style w:type="character" w:customStyle="1" w:styleId="CommentSubjectChar">
    <w:name w:val="Comment Subject Char"/>
    <w:basedOn w:val="CommentTextChar"/>
    <w:link w:val="CommentSubject"/>
    <w:rsid w:val="00745F7C"/>
    <w:rPr>
      <w:b/>
      <w:bCs/>
    </w:rPr>
  </w:style>
  <w:style w:type="table" w:styleId="TableGrid">
    <w:name w:val="Table Grid"/>
    <w:basedOn w:val="TableNormal"/>
    <w:rsid w:val="00C9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91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896">
      <w:bodyDiv w:val="1"/>
      <w:marLeft w:val="0"/>
      <w:marRight w:val="0"/>
      <w:marTop w:val="0"/>
      <w:marBottom w:val="0"/>
      <w:divBdr>
        <w:top w:val="none" w:sz="0" w:space="0" w:color="auto"/>
        <w:left w:val="none" w:sz="0" w:space="0" w:color="auto"/>
        <w:bottom w:val="none" w:sz="0" w:space="0" w:color="auto"/>
        <w:right w:val="none" w:sz="0" w:space="0" w:color="auto"/>
      </w:divBdr>
    </w:div>
    <w:div w:id="647713318">
      <w:bodyDiv w:val="1"/>
      <w:marLeft w:val="0"/>
      <w:marRight w:val="0"/>
      <w:marTop w:val="0"/>
      <w:marBottom w:val="0"/>
      <w:divBdr>
        <w:top w:val="none" w:sz="0" w:space="0" w:color="auto"/>
        <w:left w:val="none" w:sz="0" w:space="0" w:color="auto"/>
        <w:bottom w:val="none" w:sz="0" w:space="0" w:color="auto"/>
        <w:right w:val="none" w:sz="0" w:space="0" w:color="auto"/>
      </w:divBdr>
    </w:div>
    <w:div w:id="740100647">
      <w:bodyDiv w:val="1"/>
      <w:marLeft w:val="0"/>
      <w:marRight w:val="0"/>
      <w:marTop w:val="0"/>
      <w:marBottom w:val="0"/>
      <w:divBdr>
        <w:top w:val="none" w:sz="0" w:space="0" w:color="auto"/>
        <w:left w:val="none" w:sz="0" w:space="0" w:color="auto"/>
        <w:bottom w:val="none" w:sz="0" w:space="0" w:color="auto"/>
        <w:right w:val="none" w:sz="0" w:space="0" w:color="auto"/>
      </w:divBdr>
    </w:div>
    <w:div w:id="802889692">
      <w:bodyDiv w:val="1"/>
      <w:marLeft w:val="0"/>
      <w:marRight w:val="0"/>
      <w:marTop w:val="0"/>
      <w:marBottom w:val="0"/>
      <w:divBdr>
        <w:top w:val="none" w:sz="0" w:space="0" w:color="auto"/>
        <w:left w:val="none" w:sz="0" w:space="0" w:color="auto"/>
        <w:bottom w:val="none" w:sz="0" w:space="0" w:color="auto"/>
        <w:right w:val="none" w:sz="0" w:space="0" w:color="auto"/>
      </w:divBdr>
    </w:div>
    <w:div w:id="1205678768">
      <w:bodyDiv w:val="1"/>
      <w:marLeft w:val="0"/>
      <w:marRight w:val="0"/>
      <w:marTop w:val="0"/>
      <w:marBottom w:val="0"/>
      <w:divBdr>
        <w:top w:val="none" w:sz="0" w:space="0" w:color="auto"/>
        <w:left w:val="none" w:sz="0" w:space="0" w:color="auto"/>
        <w:bottom w:val="none" w:sz="0" w:space="0" w:color="auto"/>
        <w:right w:val="none" w:sz="0" w:space="0" w:color="auto"/>
      </w:divBdr>
      <w:divsChild>
        <w:div w:id="1902977945">
          <w:marLeft w:val="0"/>
          <w:marRight w:val="0"/>
          <w:marTop w:val="0"/>
          <w:marBottom w:val="0"/>
          <w:divBdr>
            <w:top w:val="none" w:sz="0" w:space="0" w:color="auto"/>
            <w:left w:val="none" w:sz="0" w:space="0" w:color="auto"/>
            <w:bottom w:val="none" w:sz="0" w:space="0" w:color="auto"/>
            <w:right w:val="none" w:sz="0" w:space="0" w:color="auto"/>
          </w:divBdr>
        </w:div>
        <w:div w:id="1767847496">
          <w:marLeft w:val="360"/>
          <w:marRight w:val="0"/>
          <w:marTop w:val="0"/>
          <w:marBottom w:val="300"/>
          <w:divBdr>
            <w:top w:val="none" w:sz="0" w:space="0" w:color="auto"/>
            <w:left w:val="none" w:sz="0" w:space="0" w:color="auto"/>
            <w:bottom w:val="none" w:sz="0" w:space="0" w:color="auto"/>
            <w:right w:val="none" w:sz="0" w:space="0" w:color="auto"/>
          </w:divBdr>
        </w:div>
        <w:div w:id="1221406393">
          <w:marLeft w:val="0"/>
          <w:marRight w:val="0"/>
          <w:marTop w:val="0"/>
          <w:marBottom w:val="0"/>
          <w:divBdr>
            <w:top w:val="none" w:sz="0" w:space="0" w:color="auto"/>
            <w:left w:val="none" w:sz="0" w:space="0" w:color="auto"/>
            <w:bottom w:val="none" w:sz="0" w:space="0" w:color="auto"/>
            <w:right w:val="none" w:sz="0" w:space="0" w:color="auto"/>
          </w:divBdr>
        </w:div>
        <w:div w:id="126096834">
          <w:marLeft w:val="360"/>
          <w:marRight w:val="0"/>
          <w:marTop w:val="0"/>
          <w:marBottom w:val="300"/>
          <w:divBdr>
            <w:top w:val="none" w:sz="0" w:space="0" w:color="auto"/>
            <w:left w:val="none" w:sz="0" w:space="0" w:color="auto"/>
            <w:bottom w:val="none" w:sz="0" w:space="0" w:color="auto"/>
            <w:right w:val="none" w:sz="0" w:space="0" w:color="auto"/>
          </w:divBdr>
        </w:div>
      </w:divsChild>
    </w:div>
    <w:div w:id="1286736607">
      <w:bodyDiv w:val="1"/>
      <w:marLeft w:val="0"/>
      <w:marRight w:val="0"/>
      <w:marTop w:val="0"/>
      <w:marBottom w:val="0"/>
      <w:divBdr>
        <w:top w:val="none" w:sz="0" w:space="0" w:color="auto"/>
        <w:left w:val="none" w:sz="0" w:space="0" w:color="auto"/>
        <w:bottom w:val="none" w:sz="0" w:space="0" w:color="auto"/>
        <w:right w:val="none" w:sz="0" w:space="0" w:color="auto"/>
      </w:divBdr>
      <w:divsChild>
        <w:div w:id="1341199022">
          <w:marLeft w:val="0"/>
          <w:marRight w:val="0"/>
          <w:marTop w:val="0"/>
          <w:marBottom w:val="0"/>
          <w:divBdr>
            <w:top w:val="none" w:sz="0" w:space="0" w:color="auto"/>
            <w:left w:val="none" w:sz="0" w:space="0" w:color="auto"/>
            <w:bottom w:val="none" w:sz="0" w:space="0" w:color="auto"/>
            <w:right w:val="none" w:sz="0" w:space="0" w:color="auto"/>
          </w:divBdr>
        </w:div>
        <w:div w:id="1958484786">
          <w:marLeft w:val="360"/>
          <w:marRight w:val="0"/>
          <w:marTop w:val="0"/>
          <w:marBottom w:val="300"/>
          <w:divBdr>
            <w:top w:val="none" w:sz="0" w:space="0" w:color="auto"/>
            <w:left w:val="none" w:sz="0" w:space="0" w:color="auto"/>
            <w:bottom w:val="none" w:sz="0" w:space="0" w:color="auto"/>
            <w:right w:val="none" w:sz="0" w:space="0" w:color="auto"/>
          </w:divBdr>
        </w:div>
        <w:div w:id="1839887370">
          <w:marLeft w:val="0"/>
          <w:marRight w:val="0"/>
          <w:marTop w:val="0"/>
          <w:marBottom w:val="0"/>
          <w:divBdr>
            <w:top w:val="none" w:sz="0" w:space="0" w:color="auto"/>
            <w:left w:val="none" w:sz="0" w:space="0" w:color="auto"/>
            <w:bottom w:val="none" w:sz="0" w:space="0" w:color="auto"/>
            <w:right w:val="none" w:sz="0" w:space="0" w:color="auto"/>
          </w:divBdr>
        </w:div>
        <w:div w:id="1454791174">
          <w:marLeft w:val="360"/>
          <w:marRight w:val="0"/>
          <w:marTop w:val="0"/>
          <w:marBottom w:val="300"/>
          <w:divBdr>
            <w:top w:val="none" w:sz="0" w:space="0" w:color="auto"/>
            <w:left w:val="none" w:sz="0" w:space="0" w:color="auto"/>
            <w:bottom w:val="none" w:sz="0" w:space="0" w:color="auto"/>
            <w:right w:val="none" w:sz="0" w:space="0" w:color="auto"/>
          </w:divBdr>
        </w:div>
      </w:divsChild>
    </w:div>
    <w:div w:id="1385720025">
      <w:bodyDiv w:val="1"/>
      <w:marLeft w:val="0"/>
      <w:marRight w:val="0"/>
      <w:marTop w:val="0"/>
      <w:marBottom w:val="0"/>
      <w:divBdr>
        <w:top w:val="none" w:sz="0" w:space="0" w:color="auto"/>
        <w:left w:val="none" w:sz="0" w:space="0" w:color="auto"/>
        <w:bottom w:val="none" w:sz="0" w:space="0" w:color="auto"/>
        <w:right w:val="none" w:sz="0" w:space="0" w:color="auto"/>
      </w:divBdr>
    </w:div>
    <w:div w:id="1668435474">
      <w:bodyDiv w:val="1"/>
      <w:marLeft w:val="0"/>
      <w:marRight w:val="0"/>
      <w:marTop w:val="0"/>
      <w:marBottom w:val="0"/>
      <w:divBdr>
        <w:top w:val="none" w:sz="0" w:space="0" w:color="auto"/>
        <w:left w:val="none" w:sz="0" w:space="0" w:color="auto"/>
        <w:bottom w:val="none" w:sz="0" w:space="0" w:color="auto"/>
        <w:right w:val="none" w:sz="0" w:space="0" w:color="auto"/>
      </w:divBdr>
      <w:divsChild>
        <w:div w:id="1612319411">
          <w:marLeft w:val="0"/>
          <w:marRight w:val="0"/>
          <w:marTop w:val="0"/>
          <w:marBottom w:val="0"/>
          <w:divBdr>
            <w:top w:val="none" w:sz="0" w:space="0" w:color="auto"/>
            <w:left w:val="none" w:sz="0" w:space="0" w:color="auto"/>
            <w:bottom w:val="none" w:sz="0" w:space="0" w:color="auto"/>
            <w:right w:val="none" w:sz="0" w:space="0" w:color="auto"/>
          </w:divBdr>
        </w:div>
        <w:div w:id="712465773">
          <w:marLeft w:val="360"/>
          <w:marRight w:val="0"/>
          <w:marTop w:val="0"/>
          <w:marBottom w:val="300"/>
          <w:divBdr>
            <w:top w:val="none" w:sz="0" w:space="0" w:color="auto"/>
            <w:left w:val="none" w:sz="0" w:space="0" w:color="auto"/>
            <w:bottom w:val="none" w:sz="0" w:space="0" w:color="auto"/>
            <w:right w:val="none" w:sz="0" w:space="0" w:color="auto"/>
          </w:divBdr>
        </w:div>
        <w:div w:id="1024139026">
          <w:marLeft w:val="0"/>
          <w:marRight w:val="0"/>
          <w:marTop w:val="0"/>
          <w:marBottom w:val="0"/>
          <w:divBdr>
            <w:top w:val="none" w:sz="0" w:space="0" w:color="auto"/>
            <w:left w:val="none" w:sz="0" w:space="0" w:color="auto"/>
            <w:bottom w:val="none" w:sz="0" w:space="0" w:color="auto"/>
            <w:right w:val="none" w:sz="0" w:space="0" w:color="auto"/>
          </w:divBdr>
        </w:div>
        <w:div w:id="637759932">
          <w:marLeft w:val="36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7207</TotalTime>
  <Pages>5</Pages>
  <Words>2215</Words>
  <Characters>11449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ORDINANCE NO</vt:lpstr>
    </vt:vector>
  </TitlesOfParts>
  <Company>City of Newberry</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Wendy Kinser</dc:creator>
  <cp:keywords/>
  <cp:lastModifiedBy>Jeannene Mironack</cp:lastModifiedBy>
  <cp:revision>22</cp:revision>
  <cp:lastPrinted>2024-01-08T21:19:00Z</cp:lastPrinted>
  <dcterms:created xsi:type="dcterms:W3CDTF">2022-02-23T20:56:00Z</dcterms:created>
  <dcterms:modified xsi:type="dcterms:W3CDTF">2024-01-08T21:20:00Z</dcterms:modified>
</cp:coreProperties>
</file>