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43452" w14:textId="77777777" w:rsidR="00F37199" w:rsidRPr="00F37199" w:rsidRDefault="00F37199" w:rsidP="00F37199">
      <w:pPr>
        <w:widowControl/>
        <w:jc w:val="center"/>
        <w:textAlignment w:val="baseline"/>
        <w:rPr>
          <w:rFonts w:ascii="Segoe UI" w:hAnsi="Segoe UI" w:cs="Segoe UI"/>
          <w:bCs/>
          <w:snapToGrid/>
          <w:sz w:val="18"/>
          <w:szCs w:val="18"/>
        </w:rPr>
      </w:pPr>
      <w:r w:rsidRPr="00F37199">
        <w:rPr>
          <w:bCs/>
          <w:snapToGrid/>
        </w:rPr>
        <w:t>ORDINANCE 2024-13 </w:t>
      </w:r>
    </w:p>
    <w:p w14:paraId="30781112" w14:textId="77777777" w:rsidR="00F37199" w:rsidRPr="00F37199" w:rsidRDefault="00F37199" w:rsidP="00F37199">
      <w:pPr>
        <w:widowControl/>
        <w:jc w:val="center"/>
        <w:textAlignment w:val="baseline"/>
        <w:rPr>
          <w:rFonts w:ascii="Segoe UI" w:hAnsi="Segoe UI" w:cs="Segoe UI"/>
          <w:bCs/>
          <w:snapToGrid/>
          <w:sz w:val="18"/>
          <w:szCs w:val="18"/>
        </w:rPr>
      </w:pPr>
      <w:r w:rsidRPr="00F37199">
        <w:rPr>
          <w:bCs/>
          <w:snapToGrid/>
        </w:rPr>
        <w:t> </w:t>
      </w:r>
    </w:p>
    <w:p w14:paraId="0933ACDE" w14:textId="77777777" w:rsidR="00F37199" w:rsidRPr="00F37199" w:rsidRDefault="00F37199" w:rsidP="00F37199">
      <w:pPr>
        <w:widowControl/>
        <w:ind w:left="720" w:right="720"/>
        <w:jc w:val="both"/>
        <w:textAlignment w:val="baseline"/>
        <w:rPr>
          <w:rFonts w:ascii="Segoe UI" w:hAnsi="Segoe UI" w:cs="Segoe UI"/>
          <w:bCs/>
          <w:snapToGrid/>
          <w:sz w:val="18"/>
          <w:szCs w:val="18"/>
        </w:rPr>
      </w:pPr>
      <w:r w:rsidRPr="00F37199">
        <w:rPr>
          <w:bCs/>
          <w:snapToGrid/>
        </w:rPr>
        <w:t>AN ORDINANCE OF THE CITY COMMISSION FOR CITY OF NEWBERRY, FLORIDA PROVIDING REGULATIONS REGARDING THE PERMITTED INVESTMENT OF SURPLUS FUNDS AND AUTHORIZING THE ADOPTION OF AN INVESTMENT PROCEDURES; CREATING SECTION 2-121 OF THE CITY OF NEWBERRY CODE OF ORDINANCES REGARDING PERMITTED INVESTMENT OF SURPLUS FUNDS; REPEALING ALL ORDINANCES IN CONFLICT AND PROVIDING AN EFFECTIVE DATE </w:t>
      </w:r>
    </w:p>
    <w:p w14:paraId="1E7B8583" w14:textId="77777777" w:rsidR="00F37199" w:rsidRPr="00F37199" w:rsidRDefault="00F37199" w:rsidP="00F37199">
      <w:pPr>
        <w:widowControl/>
        <w:ind w:left="1440" w:right="720"/>
        <w:jc w:val="both"/>
        <w:textAlignment w:val="baseline"/>
        <w:rPr>
          <w:rFonts w:ascii="Segoe UI" w:hAnsi="Segoe UI" w:cs="Segoe UI"/>
          <w:bCs/>
          <w:snapToGrid/>
          <w:sz w:val="18"/>
          <w:szCs w:val="18"/>
        </w:rPr>
      </w:pPr>
      <w:r w:rsidRPr="00F37199">
        <w:rPr>
          <w:bCs/>
          <w:snapToGrid/>
        </w:rPr>
        <w:t> </w:t>
      </w:r>
    </w:p>
    <w:p w14:paraId="03BDA34C" w14:textId="77777777" w:rsidR="00F37199" w:rsidRPr="00F37199" w:rsidRDefault="00F37199" w:rsidP="00F37199">
      <w:pPr>
        <w:widowControl/>
        <w:ind w:firstLine="720"/>
        <w:jc w:val="both"/>
        <w:textAlignment w:val="baseline"/>
        <w:rPr>
          <w:rFonts w:ascii="Segoe UI" w:hAnsi="Segoe UI" w:cs="Segoe UI"/>
          <w:bCs/>
          <w:snapToGrid/>
          <w:sz w:val="18"/>
          <w:szCs w:val="18"/>
        </w:rPr>
      </w:pPr>
      <w:r w:rsidRPr="00F37199">
        <w:rPr>
          <w:bCs/>
          <w:snapToGrid/>
        </w:rPr>
        <w:t xml:space="preserve">WHEREAS, </w:t>
      </w:r>
      <w:r w:rsidRPr="00F37199">
        <w:rPr>
          <w:b w:val="0"/>
          <w:snapToGrid/>
        </w:rPr>
        <w:t>the City is granted authority, under Section 2(b), Article VIII, of the State Constitution, to exercise any power for municipal purposes, except as otherwise provided by law; and </w:t>
      </w:r>
      <w:r w:rsidRPr="00F37199">
        <w:rPr>
          <w:bCs/>
          <w:snapToGrid/>
        </w:rPr>
        <w:t>  </w:t>
      </w:r>
    </w:p>
    <w:p w14:paraId="1D2E50A3" w14:textId="77777777" w:rsidR="00F37199" w:rsidRPr="00F37199" w:rsidRDefault="00F37199" w:rsidP="00F37199">
      <w:pPr>
        <w:widowControl/>
        <w:jc w:val="both"/>
        <w:textAlignment w:val="baseline"/>
        <w:rPr>
          <w:rFonts w:ascii="Segoe UI" w:hAnsi="Segoe UI" w:cs="Segoe UI"/>
          <w:bCs/>
          <w:snapToGrid/>
          <w:sz w:val="18"/>
          <w:szCs w:val="18"/>
        </w:rPr>
      </w:pPr>
    </w:p>
    <w:p w14:paraId="14D82F45" w14:textId="77777777" w:rsidR="00F37199" w:rsidRPr="00F37199" w:rsidRDefault="00F37199" w:rsidP="00F37199">
      <w:pPr>
        <w:widowControl/>
        <w:ind w:firstLine="720"/>
        <w:jc w:val="both"/>
        <w:textAlignment w:val="baseline"/>
        <w:rPr>
          <w:rFonts w:ascii="Segoe UI" w:hAnsi="Segoe UI" w:cs="Segoe UI"/>
          <w:bCs/>
          <w:snapToGrid/>
          <w:sz w:val="18"/>
          <w:szCs w:val="18"/>
        </w:rPr>
      </w:pPr>
      <w:proofErr w:type="gramStart"/>
      <w:r w:rsidRPr="00F37199">
        <w:rPr>
          <w:bCs/>
          <w:snapToGrid/>
        </w:rPr>
        <w:t>WHEREAS,</w:t>
      </w:r>
      <w:proofErr w:type="gramEnd"/>
      <w:r w:rsidRPr="00F37199">
        <w:rPr>
          <w:bCs/>
          <w:snapToGrid/>
        </w:rPr>
        <w:t xml:space="preserve"> </w:t>
      </w:r>
      <w:r w:rsidRPr="00F37199">
        <w:rPr>
          <w:b w:val="0"/>
          <w:snapToGrid/>
        </w:rPr>
        <w:t>the City is authorized to adopt a written investment policy pursuant to Section 218.415, Florida Statutes, which governs the types of financial investments that a city may make; and </w:t>
      </w:r>
      <w:r w:rsidRPr="00F37199">
        <w:rPr>
          <w:bCs/>
          <w:snapToGrid/>
        </w:rPr>
        <w:t> </w:t>
      </w:r>
    </w:p>
    <w:p w14:paraId="449A2A6E" w14:textId="77777777" w:rsidR="00F37199" w:rsidRPr="00F37199" w:rsidRDefault="00F37199" w:rsidP="00F37199">
      <w:pPr>
        <w:widowControl/>
        <w:jc w:val="both"/>
        <w:textAlignment w:val="baseline"/>
        <w:rPr>
          <w:bCs/>
          <w:snapToGrid/>
        </w:rPr>
      </w:pPr>
    </w:p>
    <w:p w14:paraId="695A98EC" w14:textId="77777777" w:rsidR="00F37199" w:rsidRPr="00F37199" w:rsidRDefault="00F37199" w:rsidP="00F37199">
      <w:pPr>
        <w:widowControl/>
        <w:jc w:val="both"/>
        <w:textAlignment w:val="baseline"/>
        <w:rPr>
          <w:b w:val="0"/>
          <w:snapToGrid/>
        </w:rPr>
      </w:pPr>
      <w:r w:rsidRPr="00F37199">
        <w:rPr>
          <w:bCs/>
          <w:snapToGrid/>
        </w:rPr>
        <w:tab/>
      </w:r>
      <w:proofErr w:type="gramStart"/>
      <w:r w:rsidRPr="00F37199">
        <w:rPr>
          <w:bCs/>
          <w:snapToGrid/>
        </w:rPr>
        <w:t>WHEREAS,</w:t>
      </w:r>
      <w:proofErr w:type="gramEnd"/>
      <w:r w:rsidRPr="00F37199">
        <w:rPr>
          <w:bCs/>
          <w:snapToGrid/>
        </w:rPr>
        <w:t xml:space="preserve"> </w:t>
      </w:r>
      <w:r w:rsidRPr="00F37199">
        <w:rPr>
          <w:b w:val="0"/>
          <w:snapToGrid/>
        </w:rPr>
        <w:t xml:space="preserve">the City of Newberry desires to codify permissible instruments that surplus public funds of the City may be invested or reinvested in; and </w:t>
      </w:r>
    </w:p>
    <w:p w14:paraId="53A98334" w14:textId="77777777" w:rsidR="00F37199" w:rsidRPr="00F37199" w:rsidRDefault="00F37199" w:rsidP="00F37199">
      <w:pPr>
        <w:widowControl/>
        <w:jc w:val="both"/>
        <w:textAlignment w:val="baseline"/>
        <w:rPr>
          <w:rFonts w:ascii="Segoe UI" w:hAnsi="Segoe UI" w:cs="Segoe UI"/>
          <w:b w:val="0"/>
          <w:snapToGrid/>
          <w:sz w:val="18"/>
          <w:szCs w:val="18"/>
        </w:rPr>
      </w:pPr>
    </w:p>
    <w:p w14:paraId="291B4A31" w14:textId="77777777" w:rsidR="00F37199" w:rsidRPr="00F37199" w:rsidRDefault="00F37199" w:rsidP="00F37199">
      <w:pPr>
        <w:widowControl/>
        <w:ind w:firstLine="720"/>
        <w:jc w:val="both"/>
        <w:textAlignment w:val="baseline"/>
        <w:rPr>
          <w:rFonts w:ascii="Segoe UI" w:hAnsi="Segoe UI" w:cs="Segoe UI"/>
          <w:bCs/>
          <w:snapToGrid/>
          <w:sz w:val="18"/>
          <w:szCs w:val="18"/>
        </w:rPr>
      </w:pPr>
      <w:proofErr w:type="gramStart"/>
      <w:r w:rsidRPr="00F37199">
        <w:rPr>
          <w:bCs/>
          <w:snapToGrid/>
        </w:rPr>
        <w:t>WHEREAS</w:t>
      </w:r>
      <w:r w:rsidRPr="00F37199">
        <w:rPr>
          <w:b w:val="0"/>
          <w:snapToGrid/>
        </w:rPr>
        <w:t>,</w:t>
      </w:r>
      <w:proofErr w:type="gramEnd"/>
      <w:r w:rsidRPr="00F37199">
        <w:rPr>
          <w:b w:val="0"/>
          <w:snapToGrid/>
        </w:rPr>
        <w:t xml:space="preserve"> it is in the best interest of the City of Newberry to codify the regulations regarding permissible investment instruments and the creation and adoption of an Investment Policy; and </w:t>
      </w:r>
      <w:r w:rsidRPr="00F37199">
        <w:rPr>
          <w:bCs/>
          <w:snapToGrid/>
        </w:rPr>
        <w:t> </w:t>
      </w:r>
    </w:p>
    <w:p w14:paraId="16FA0DA6" w14:textId="77777777" w:rsidR="00F37199" w:rsidRPr="00F37199" w:rsidRDefault="00F37199" w:rsidP="00F37199">
      <w:pPr>
        <w:widowControl/>
        <w:ind w:left="540" w:firstLine="900"/>
        <w:textAlignment w:val="baseline"/>
        <w:rPr>
          <w:rFonts w:ascii="Segoe UI" w:hAnsi="Segoe UI" w:cs="Segoe UI"/>
          <w:bCs/>
          <w:snapToGrid/>
          <w:sz w:val="18"/>
          <w:szCs w:val="18"/>
        </w:rPr>
      </w:pPr>
      <w:r w:rsidRPr="00F37199">
        <w:rPr>
          <w:bCs/>
          <w:snapToGrid/>
        </w:rPr>
        <w:t> </w:t>
      </w:r>
    </w:p>
    <w:p w14:paraId="11EA5699" w14:textId="77777777" w:rsidR="00F37199" w:rsidRPr="00F37199" w:rsidRDefault="00F37199" w:rsidP="00F37199">
      <w:pPr>
        <w:widowControl/>
        <w:ind w:firstLine="720"/>
        <w:textAlignment w:val="baseline"/>
        <w:rPr>
          <w:rFonts w:ascii="Segoe UI" w:hAnsi="Segoe UI" w:cs="Segoe UI"/>
          <w:bCs/>
          <w:snapToGrid/>
          <w:sz w:val="18"/>
          <w:szCs w:val="18"/>
        </w:rPr>
      </w:pPr>
      <w:r w:rsidRPr="00F37199">
        <w:rPr>
          <w:bCs/>
          <w:snapToGrid/>
        </w:rPr>
        <w:t xml:space="preserve">NOW THEREFORE BE IT ORDAINED BY THE PEOPLE OF THE CITY OF NEWBERRY, FLORIDA </w:t>
      </w:r>
      <w:r w:rsidRPr="00F37199">
        <w:rPr>
          <w:b w:val="0"/>
          <w:snapToGrid/>
        </w:rPr>
        <w:t>as the following:</w:t>
      </w:r>
      <w:r w:rsidRPr="00F37199">
        <w:rPr>
          <w:bCs/>
          <w:snapToGrid/>
        </w:rPr>
        <w:t> </w:t>
      </w:r>
    </w:p>
    <w:p w14:paraId="6608F562" w14:textId="77777777" w:rsidR="00F37199" w:rsidRPr="00F37199" w:rsidRDefault="00F37199" w:rsidP="00F37199">
      <w:pPr>
        <w:widowControl/>
        <w:ind w:left="540" w:firstLine="900"/>
        <w:textAlignment w:val="baseline"/>
        <w:rPr>
          <w:rFonts w:ascii="Segoe UI" w:hAnsi="Segoe UI" w:cs="Segoe UI"/>
          <w:bCs/>
          <w:snapToGrid/>
          <w:sz w:val="18"/>
          <w:szCs w:val="18"/>
        </w:rPr>
      </w:pPr>
      <w:r w:rsidRPr="00F37199">
        <w:rPr>
          <w:bCs/>
          <w:snapToGrid/>
        </w:rPr>
        <w:t> </w:t>
      </w:r>
    </w:p>
    <w:p w14:paraId="00BAAD96" w14:textId="77777777" w:rsidR="00F37199" w:rsidRPr="00F37199" w:rsidRDefault="00F37199" w:rsidP="00F37199">
      <w:pPr>
        <w:widowControl/>
        <w:textAlignment w:val="baseline"/>
        <w:rPr>
          <w:bCs/>
          <w:snapToGrid/>
        </w:rPr>
      </w:pPr>
      <w:r w:rsidRPr="00F37199">
        <w:rPr>
          <w:bCs/>
          <w:snapToGrid/>
        </w:rPr>
        <w:t>Section 1.</w:t>
      </w:r>
      <w:r w:rsidRPr="00F37199">
        <w:rPr>
          <w:b w:val="0"/>
          <w:snapToGrid/>
        </w:rPr>
        <w:t xml:space="preserve">  Section 2-121 of the City of Newberry Code of Ordinances is hereby created to be read as follows (additions are </w:t>
      </w:r>
      <w:r w:rsidRPr="00F37199">
        <w:rPr>
          <w:b w:val="0"/>
          <w:snapToGrid/>
          <w:u w:val="single"/>
        </w:rPr>
        <w:t>underlined</w:t>
      </w:r>
      <w:r w:rsidRPr="00F37199">
        <w:rPr>
          <w:b w:val="0"/>
          <w:snapToGrid/>
        </w:rPr>
        <w:t xml:space="preserve"> and deletions of </w:t>
      </w:r>
      <w:r w:rsidRPr="00F37199">
        <w:rPr>
          <w:b w:val="0"/>
          <w:strike/>
          <w:snapToGrid/>
        </w:rPr>
        <w:t>struck through</w:t>
      </w:r>
      <w:r w:rsidRPr="00F37199">
        <w:rPr>
          <w:b w:val="0"/>
          <w:snapToGrid/>
        </w:rPr>
        <w:t>):</w:t>
      </w:r>
      <w:r w:rsidRPr="00F37199">
        <w:rPr>
          <w:bCs/>
          <w:snapToGrid/>
        </w:rPr>
        <w:t> </w:t>
      </w:r>
    </w:p>
    <w:p w14:paraId="14A20612" w14:textId="77777777" w:rsidR="00F37199" w:rsidRPr="00F37199" w:rsidRDefault="00F37199" w:rsidP="00F37199">
      <w:pPr>
        <w:keepNext/>
        <w:keepLines/>
        <w:widowControl/>
        <w:spacing w:before="180" w:after="120" w:line="276" w:lineRule="auto"/>
        <w:ind w:left="950" w:hanging="950"/>
        <w:outlineLvl w:val="5"/>
        <w:rPr>
          <w:rFonts w:eastAsia="Aptos"/>
          <w:snapToGrid/>
          <w:u w:val="single"/>
        </w:rPr>
      </w:pPr>
      <w:r w:rsidRPr="00F37199">
        <w:rPr>
          <w:rFonts w:eastAsia="Aptos"/>
          <w:snapToGrid/>
          <w:u w:val="single"/>
        </w:rPr>
        <w:t>Section 2-121. Permitted investment of surplus funds.</w:t>
      </w:r>
    </w:p>
    <w:p w14:paraId="26CFAB52" w14:textId="77777777" w:rsidR="00F37199" w:rsidRPr="00F37199" w:rsidRDefault="00F37199" w:rsidP="00F37199">
      <w:pPr>
        <w:widowControl/>
        <w:spacing w:before="40" w:after="120"/>
        <w:ind w:left="475" w:hanging="475"/>
        <w:jc w:val="both"/>
        <w:rPr>
          <w:rFonts w:eastAsia="Aptos"/>
          <w:b w:val="0"/>
          <w:snapToGrid/>
          <w:u w:val="single"/>
        </w:rPr>
      </w:pPr>
      <w:r w:rsidRPr="00F37199">
        <w:rPr>
          <w:rFonts w:eastAsia="Aptos"/>
          <w:b w:val="0"/>
          <w:snapToGrid/>
          <w:u w:val="single"/>
        </w:rPr>
        <w:t>(a)</w:t>
      </w:r>
      <w:r w:rsidRPr="00F37199">
        <w:rPr>
          <w:rFonts w:eastAsia="Aptos"/>
          <w:b w:val="0"/>
          <w:snapToGrid/>
          <w:u w:val="single"/>
        </w:rPr>
        <w:tab/>
      </w:r>
      <w:r w:rsidRPr="00F37199">
        <w:rPr>
          <w:rFonts w:eastAsia="Aptos"/>
          <w:b w:val="0"/>
          <w:i/>
          <w:snapToGrid/>
          <w:u w:val="single"/>
        </w:rPr>
        <w:t>Authorized investment instruments.</w:t>
      </w:r>
      <w:r w:rsidRPr="00F37199">
        <w:rPr>
          <w:rFonts w:eastAsia="Aptos"/>
          <w:b w:val="0"/>
          <w:snapToGrid/>
          <w:u w:val="single"/>
        </w:rPr>
        <w:t xml:space="preserve"> In addition to the obligations described in </w:t>
      </w:r>
      <w:bookmarkStart w:id="0" w:name="_Hlk163025445"/>
      <w:r w:rsidRPr="00F37199">
        <w:rPr>
          <w:rFonts w:eastAsia="Aptos"/>
          <w:b w:val="0"/>
          <w:snapToGrid/>
          <w:u w:val="single"/>
        </w:rPr>
        <w:t>F.S. § 218.415</w:t>
      </w:r>
      <w:bookmarkEnd w:id="0"/>
      <w:r w:rsidRPr="00F37199">
        <w:rPr>
          <w:rFonts w:eastAsia="Aptos"/>
          <w:b w:val="0"/>
          <w:snapToGrid/>
          <w:u w:val="single"/>
        </w:rPr>
        <w:t xml:space="preserve">, and other obligations constituting permitted investments under Florida law, surplus public funds of the city may be invested and reinvested in the following authorized instruments, none of which shall be deemed authorized or permissible if in the form of derivatives: </w:t>
      </w:r>
    </w:p>
    <w:p w14:paraId="07EC3269" w14:textId="77777777" w:rsidR="00F37199" w:rsidRPr="00F37199" w:rsidRDefault="00F37199" w:rsidP="00F37199">
      <w:pPr>
        <w:widowControl/>
        <w:spacing w:before="40" w:after="120"/>
        <w:ind w:left="950" w:hanging="475"/>
        <w:jc w:val="both"/>
        <w:rPr>
          <w:rFonts w:eastAsia="Aptos"/>
          <w:b w:val="0"/>
          <w:snapToGrid/>
          <w:u w:val="single"/>
        </w:rPr>
      </w:pPr>
      <w:r w:rsidRPr="00F37199">
        <w:rPr>
          <w:rFonts w:eastAsia="Aptos"/>
          <w:b w:val="0"/>
          <w:snapToGrid/>
          <w:u w:val="single"/>
        </w:rPr>
        <w:t>(1)</w:t>
      </w:r>
      <w:r w:rsidRPr="00F37199">
        <w:rPr>
          <w:rFonts w:eastAsia="Aptos"/>
          <w:b w:val="0"/>
          <w:snapToGrid/>
          <w:u w:val="single"/>
        </w:rPr>
        <w:tab/>
        <w:t xml:space="preserve">U.S. Treasury and Government Guaranteed—U.S. Treasury obligations, and obligations the principal and interest of which are backed or guaranteed by the full faith and credit of the U.S. Government. </w:t>
      </w:r>
    </w:p>
    <w:p w14:paraId="0B56982A" w14:textId="77777777" w:rsidR="00F37199" w:rsidRPr="00F37199" w:rsidRDefault="00F37199" w:rsidP="00F37199">
      <w:pPr>
        <w:widowControl/>
        <w:spacing w:before="40" w:after="120"/>
        <w:ind w:left="950" w:hanging="475"/>
        <w:jc w:val="both"/>
        <w:rPr>
          <w:rFonts w:eastAsia="Aptos"/>
          <w:b w:val="0"/>
          <w:snapToGrid/>
          <w:u w:val="single"/>
        </w:rPr>
      </w:pPr>
      <w:r w:rsidRPr="00F37199">
        <w:rPr>
          <w:rFonts w:eastAsia="Aptos"/>
          <w:b w:val="0"/>
          <w:snapToGrid/>
          <w:u w:val="single"/>
        </w:rPr>
        <w:t>(2)</w:t>
      </w:r>
      <w:r w:rsidRPr="00F37199">
        <w:rPr>
          <w:rFonts w:eastAsia="Aptos"/>
          <w:b w:val="0"/>
          <w:snapToGrid/>
          <w:u w:val="single"/>
        </w:rPr>
        <w:tab/>
        <w:t>Federal Agency/</w:t>
      </w:r>
      <w:proofErr w:type="spellStart"/>
      <w:r w:rsidRPr="00F37199">
        <w:rPr>
          <w:rFonts w:eastAsia="Aptos"/>
          <w:b w:val="0"/>
          <w:snapToGrid/>
          <w:u w:val="single"/>
        </w:rPr>
        <w:t>GSE</w:t>
      </w:r>
      <w:proofErr w:type="spellEnd"/>
      <w:r w:rsidRPr="00F37199">
        <w:rPr>
          <w:rFonts w:eastAsia="Aptos"/>
          <w:b w:val="0"/>
          <w:snapToGrid/>
          <w:u w:val="single"/>
        </w:rPr>
        <w:t xml:space="preserve">—Debt obligations, participations or other instruments issued or fully guaranteed by any U.S. Federal agency, </w:t>
      </w:r>
      <w:proofErr w:type="gramStart"/>
      <w:r w:rsidRPr="00F37199">
        <w:rPr>
          <w:rFonts w:eastAsia="Aptos"/>
          <w:b w:val="0"/>
          <w:snapToGrid/>
          <w:u w:val="single"/>
        </w:rPr>
        <w:t>instrumentality</w:t>
      </w:r>
      <w:proofErr w:type="gramEnd"/>
      <w:r w:rsidRPr="00F37199">
        <w:rPr>
          <w:rFonts w:eastAsia="Aptos"/>
          <w:b w:val="0"/>
          <w:snapToGrid/>
          <w:u w:val="single"/>
        </w:rPr>
        <w:t xml:space="preserve"> or government-sponsored enterprise (</w:t>
      </w:r>
      <w:proofErr w:type="spellStart"/>
      <w:r w:rsidRPr="00F37199">
        <w:rPr>
          <w:rFonts w:eastAsia="Aptos"/>
          <w:b w:val="0"/>
          <w:snapToGrid/>
          <w:u w:val="single"/>
        </w:rPr>
        <w:t>GSE</w:t>
      </w:r>
      <w:proofErr w:type="spellEnd"/>
      <w:r w:rsidRPr="00F37199">
        <w:rPr>
          <w:rFonts w:eastAsia="Aptos"/>
          <w:b w:val="0"/>
          <w:snapToGrid/>
          <w:u w:val="single"/>
        </w:rPr>
        <w:t xml:space="preserve">). </w:t>
      </w:r>
    </w:p>
    <w:p w14:paraId="14182CF5" w14:textId="77777777" w:rsidR="00F37199" w:rsidRPr="00F37199" w:rsidRDefault="00F37199" w:rsidP="00F37199">
      <w:pPr>
        <w:widowControl/>
        <w:spacing w:before="40" w:after="120"/>
        <w:ind w:left="950" w:hanging="475"/>
        <w:jc w:val="both"/>
        <w:rPr>
          <w:rFonts w:eastAsia="Aptos"/>
          <w:b w:val="0"/>
          <w:snapToGrid/>
          <w:u w:val="single"/>
        </w:rPr>
      </w:pPr>
      <w:r w:rsidRPr="00F37199">
        <w:rPr>
          <w:rFonts w:eastAsia="Aptos"/>
          <w:b w:val="0"/>
          <w:snapToGrid/>
          <w:u w:val="single"/>
        </w:rPr>
        <w:lastRenderedPageBreak/>
        <w:t>(3)</w:t>
      </w:r>
      <w:r w:rsidRPr="00F37199">
        <w:rPr>
          <w:rFonts w:eastAsia="Aptos"/>
          <w:b w:val="0"/>
          <w:snapToGrid/>
          <w:u w:val="single"/>
        </w:rPr>
        <w:tab/>
      </w:r>
      <w:proofErr w:type="spellStart"/>
      <w:r w:rsidRPr="00F37199">
        <w:rPr>
          <w:rFonts w:eastAsia="Aptos"/>
          <w:b w:val="0"/>
          <w:snapToGrid/>
          <w:u w:val="single"/>
        </w:rPr>
        <w:t>Supranationals</w:t>
      </w:r>
      <w:proofErr w:type="spellEnd"/>
      <w:r w:rsidRPr="00F37199">
        <w:rPr>
          <w:rFonts w:eastAsia="Aptos"/>
          <w:b w:val="0"/>
          <w:snapToGrid/>
          <w:u w:val="single"/>
        </w:rPr>
        <w:t>—U.S. dollar denominated debt obligations of a multilateral organization of governments where U.S. is a shareholder and voting member. Obligation must have highest ST or highest LT rating (A-1/P-1, AAA/</w:t>
      </w:r>
      <w:proofErr w:type="spellStart"/>
      <w:r w:rsidRPr="00F37199">
        <w:rPr>
          <w:rFonts w:eastAsia="Aptos"/>
          <w:b w:val="0"/>
          <w:snapToGrid/>
          <w:u w:val="single"/>
        </w:rPr>
        <w:t>Aaa</w:t>
      </w:r>
      <w:proofErr w:type="spellEnd"/>
      <w:r w:rsidRPr="00F37199">
        <w:rPr>
          <w:rFonts w:eastAsia="Aptos"/>
          <w:b w:val="0"/>
          <w:snapToGrid/>
          <w:u w:val="single"/>
        </w:rPr>
        <w:t xml:space="preserve">, or equivalent). </w:t>
      </w:r>
    </w:p>
    <w:p w14:paraId="7E817CD8" w14:textId="77777777" w:rsidR="00F37199" w:rsidRPr="00F37199" w:rsidRDefault="00F37199" w:rsidP="00F37199">
      <w:pPr>
        <w:widowControl/>
        <w:spacing w:before="40" w:after="120"/>
        <w:ind w:left="950" w:hanging="475"/>
        <w:jc w:val="both"/>
        <w:rPr>
          <w:rFonts w:eastAsia="Aptos"/>
          <w:b w:val="0"/>
          <w:snapToGrid/>
          <w:u w:val="single"/>
        </w:rPr>
      </w:pPr>
      <w:r w:rsidRPr="00F37199">
        <w:rPr>
          <w:rFonts w:eastAsia="Aptos"/>
          <w:b w:val="0"/>
          <w:snapToGrid/>
          <w:u w:val="single"/>
        </w:rPr>
        <w:t>(4)</w:t>
      </w:r>
      <w:r w:rsidRPr="00F37199">
        <w:rPr>
          <w:rFonts w:eastAsia="Aptos"/>
          <w:b w:val="0"/>
          <w:snapToGrid/>
          <w:u w:val="single"/>
        </w:rPr>
        <w:tab/>
        <w:t>Corporates—U.S. dollar denominated corporate notes, bonds or other debt obligations issued or guaranteed by a domestic corporation, financial institution, non-profit, or other entity. Obligation must have highest ST or three highest LT rating (A-1/P-1, A-/</w:t>
      </w:r>
      <w:proofErr w:type="spellStart"/>
      <w:r w:rsidRPr="00F37199">
        <w:rPr>
          <w:rFonts w:eastAsia="Aptos"/>
          <w:b w:val="0"/>
          <w:snapToGrid/>
          <w:u w:val="single"/>
        </w:rPr>
        <w:t>A3</w:t>
      </w:r>
      <w:proofErr w:type="spellEnd"/>
      <w:r w:rsidRPr="00F37199">
        <w:rPr>
          <w:rFonts w:eastAsia="Aptos"/>
          <w:b w:val="0"/>
          <w:snapToGrid/>
          <w:u w:val="single"/>
        </w:rPr>
        <w:t xml:space="preserve">, or equivalent). </w:t>
      </w:r>
    </w:p>
    <w:p w14:paraId="489F57C0" w14:textId="77777777" w:rsidR="00F37199" w:rsidRPr="00F37199" w:rsidRDefault="00F37199" w:rsidP="00F37199">
      <w:pPr>
        <w:widowControl/>
        <w:spacing w:before="40" w:after="120"/>
        <w:ind w:left="950" w:hanging="475"/>
        <w:jc w:val="both"/>
        <w:rPr>
          <w:rFonts w:eastAsia="Aptos"/>
          <w:b w:val="0"/>
          <w:snapToGrid/>
          <w:u w:val="single"/>
        </w:rPr>
      </w:pPr>
      <w:r w:rsidRPr="00F37199">
        <w:rPr>
          <w:rFonts w:eastAsia="Aptos"/>
          <w:b w:val="0"/>
          <w:snapToGrid/>
          <w:u w:val="single"/>
        </w:rPr>
        <w:t>(5)</w:t>
      </w:r>
      <w:r w:rsidRPr="00F37199">
        <w:rPr>
          <w:rFonts w:eastAsia="Aptos"/>
          <w:b w:val="0"/>
          <w:snapToGrid/>
          <w:u w:val="single"/>
        </w:rPr>
        <w:tab/>
        <w:t xml:space="preserve">Municipals—Obligations, including both taxable and tax-exempt, issued or guaranteed by any State, territory or possession of the United States, political subdivision, public corporation, authority, agency board, </w:t>
      </w:r>
      <w:proofErr w:type="gramStart"/>
      <w:r w:rsidRPr="00F37199">
        <w:rPr>
          <w:rFonts w:eastAsia="Aptos"/>
          <w:b w:val="0"/>
          <w:snapToGrid/>
          <w:u w:val="single"/>
        </w:rPr>
        <w:t>instrumentality</w:t>
      </w:r>
      <w:proofErr w:type="gramEnd"/>
      <w:r w:rsidRPr="00F37199">
        <w:rPr>
          <w:rFonts w:eastAsia="Aptos"/>
          <w:b w:val="0"/>
          <w:snapToGrid/>
          <w:u w:val="single"/>
        </w:rPr>
        <w:t xml:space="preserve"> or other unit of local government of any state or territory. Obligation must have highest ST or three highest LT rating (SP-1/MIG 1, A-/</w:t>
      </w:r>
      <w:proofErr w:type="spellStart"/>
      <w:r w:rsidRPr="00F37199">
        <w:rPr>
          <w:rFonts w:eastAsia="Aptos"/>
          <w:b w:val="0"/>
          <w:snapToGrid/>
          <w:u w:val="single"/>
        </w:rPr>
        <w:t>A3</w:t>
      </w:r>
      <w:proofErr w:type="spellEnd"/>
      <w:r w:rsidRPr="00F37199">
        <w:rPr>
          <w:rFonts w:eastAsia="Aptos"/>
          <w:b w:val="0"/>
          <w:snapToGrid/>
          <w:u w:val="single"/>
        </w:rPr>
        <w:t xml:space="preserve">, or equivalent). </w:t>
      </w:r>
    </w:p>
    <w:p w14:paraId="23F64AED" w14:textId="77777777" w:rsidR="00F37199" w:rsidRPr="00F37199" w:rsidRDefault="00F37199" w:rsidP="00F37199">
      <w:pPr>
        <w:widowControl/>
        <w:spacing w:before="40" w:after="120"/>
        <w:ind w:left="950" w:hanging="475"/>
        <w:jc w:val="both"/>
        <w:rPr>
          <w:rFonts w:eastAsia="Aptos"/>
          <w:b w:val="0"/>
          <w:snapToGrid/>
          <w:u w:val="single"/>
        </w:rPr>
      </w:pPr>
      <w:r w:rsidRPr="00F37199">
        <w:rPr>
          <w:rFonts w:eastAsia="Aptos"/>
          <w:b w:val="0"/>
          <w:snapToGrid/>
          <w:u w:val="single"/>
        </w:rPr>
        <w:t>(6)</w:t>
      </w:r>
      <w:r w:rsidRPr="00F37199">
        <w:rPr>
          <w:rFonts w:eastAsia="Aptos"/>
          <w:b w:val="0"/>
          <w:snapToGrid/>
          <w:u w:val="single"/>
        </w:rPr>
        <w:tab/>
        <w:t xml:space="preserve">Agency </w:t>
      </w:r>
      <w:proofErr w:type="gramStart"/>
      <w:r w:rsidRPr="00F37199">
        <w:rPr>
          <w:rFonts w:eastAsia="Aptos"/>
          <w:b w:val="0"/>
          <w:snapToGrid/>
          <w:u w:val="single"/>
        </w:rPr>
        <w:t>mortgage backed</w:t>
      </w:r>
      <w:proofErr w:type="gramEnd"/>
      <w:r w:rsidRPr="00F37199">
        <w:rPr>
          <w:rFonts w:eastAsia="Aptos"/>
          <w:b w:val="0"/>
          <w:snapToGrid/>
          <w:u w:val="single"/>
        </w:rPr>
        <w:t xml:space="preserve"> securities—Mortgage-backed securities (MBS), backed by residential, multi-family or commercial mortgages, that are issued or fully guaranteed as to principal and interest by a U.S. Federal agency or government sponsored enterprise, including but not limited to pass-throughs, collateralized mortgage obligations (</w:t>
      </w:r>
      <w:proofErr w:type="spellStart"/>
      <w:r w:rsidRPr="00F37199">
        <w:rPr>
          <w:rFonts w:eastAsia="Aptos"/>
          <w:b w:val="0"/>
          <w:snapToGrid/>
          <w:u w:val="single"/>
        </w:rPr>
        <w:t>CMOs</w:t>
      </w:r>
      <w:proofErr w:type="spellEnd"/>
      <w:r w:rsidRPr="00F37199">
        <w:rPr>
          <w:rFonts w:eastAsia="Aptos"/>
          <w:b w:val="0"/>
          <w:snapToGrid/>
          <w:u w:val="single"/>
        </w:rPr>
        <w:t xml:space="preserve">) and </w:t>
      </w:r>
      <w:proofErr w:type="spellStart"/>
      <w:r w:rsidRPr="00F37199">
        <w:rPr>
          <w:rFonts w:eastAsia="Aptos"/>
          <w:b w:val="0"/>
          <w:snapToGrid/>
          <w:u w:val="single"/>
        </w:rPr>
        <w:t>REMICs</w:t>
      </w:r>
      <w:proofErr w:type="spellEnd"/>
      <w:r w:rsidRPr="00F37199">
        <w:rPr>
          <w:rFonts w:eastAsia="Aptos"/>
          <w:b w:val="0"/>
          <w:snapToGrid/>
          <w:u w:val="single"/>
        </w:rPr>
        <w:t xml:space="preserve">. </w:t>
      </w:r>
    </w:p>
    <w:p w14:paraId="3AA52856" w14:textId="77777777" w:rsidR="00F37199" w:rsidRPr="00F37199" w:rsidRDefault="00F37199" w:rsidP="00F37199">
      <w:pPr>
        <w:widowControl/>
        <w:spacing w:before="40" w:after="120"/>
        <w:ind w:left="950" w:hanging="475"/>
        <w:jc w:val="both"/>
        <w:rPr>
          <w:rFonts w:eastAsia="Aptos"/>
          <w:b w:val="0"/>
          <w:snapToGrid/>
          <w:u w:val="single"/>
        </w:rPr>
      </w:pPr>
      <w:r w:rsidRPr="00F37199">
        <w:rPr>
          <w:rFonts w:eastAsia="Aptos"/>
          <w:b w:val="0"/>
          <w:snapToGrid/>
          <w:u w:val="single"/>
        </w:rPr>
        <w:t>(7)</w:t>
      </w:r>
      <w:r w:rsidRPr="00F37199">
        <w:rPr>
          <w:rFonts w:eastAsia="Aptos"/>
          <w:b w:val="0"/>
          <w:snapToGrid/>
          <w:u w:val="single"/>
        </w:rPr>
        <w:tab/>
        <w:t xml:space="preserve">Asset-backed securities—Asset-backed securities (ABS) whose underlying collateral consists of loans, </w:t>
      </w:r>
      <w:proofErr w:type="gramStart"/>
      <w:r w:rsidRPr="00F37199">
        <w:rPr>
          <w:rFonts w:eastAsia="Aptos"/>
          <w:b w:val="0"/>
          <w:snapToGrid/>
          <w:u w:val="single"/>
        </w:rPr>
        <w:t>leases</w:t>
      </w:r>
      <w:proofErr w:type="gramEnd"/>
      <w:r w:rsidRPr="00F37199">
        <w:rPr>
          <w:rFonts w:eastAsia="Aptos"/>
          <w:b w:val="0"/>
          <w:snapToGrid/>
          <w:u w:val="single"/>
        </w:rPr>
        <w:t xml:space="preserve"> or receivables, including but not limited to auto loans/leases, credit card receivables, student loans, equipment loans/leases, or home-equity loans. Obligation must have highest ST or highest LT rating (A-1/P-1, AAA/</w:t>
      </w:r>
      <w:proofErr w:type="spellStart"/>
      <w:r w:rsidRPr="00F37199">
        <w:rPr>
          <w:rFonts w:eastAsia="Aptos"/>
          <w:b w:val="0"/>
          <w:snapToGrid/>
          <w:u w:val="single"/>
        </w:rPr>
        <w:t>Aaa</w:t>
      </w:r>
      <w:proofErr w:type="spellEnd"/>
      <w:r w:rsidRPr="00F37199">
        <w:rPr>
          <w:rFonts w:eastAsia="Aptos"/>
          <w:b w:val="0"/>
          <w:snapToGrid/>
          <w:u w:val="single"/>
        </w:rPr>
        <w:t xml:space="preserve">, or equivalent). </w:t>
      </w:r>
    </w:p>
    <w:p w14:paraId="6D093498" w14:textId="77777777" w:rsidR="00F37199" w:rsidRPr="00F37199" w:rsidRDefault="00F37199" w:rsidP="00F37199">
      <w:pPr>
        <w:widowControl/>
        <w:spacing w:before="40" w:after="120"/>
        <w:ind w:left="950" w:hanging="475"/>
        <w:jc w:val="both"/>
        <w:rPr>
          <w:rFonts w:eastAsia="Aptos"/>
          <w:b w:val="0"/>
          <w:snapToGrid/>
          <w:u w:val="single"/>
        </w:rPr>
      </w:pPr>
      <w:r w:rsidRPr="00F37199">
        <w:rPr>
          <w:rFonts w:eastAsia="Aptos"/>
          <w:b w:val="0"/>
          <w:snapToGrid/>
          <w:u w:val="single"/>
        </w:rPr>
        <w:t>(8)</w:t>
      </w:r>
      <w:r w:rsidRPr="00F37199">
        <w:rPr>
          <w:rFonts w:eastAsia="Aptos"/>
          <w:b w:val="0"/>
          <w:snapToGrid/>
          <w:u w:val="single"/>
        </w:rPr>
        <w:tab/>
        <w:t>Non-negotiable certificate of deposit and savings accounts—</w:t>
      </w:r>
      <w:proofErr w:type="gramStart"/>
      <w:r w:rsidRPr="00F37199">
        <w:rPr>
          <w:rFonts w:eastAsia="Aptos"/>
          <w:b w:val="0"/>
          <w:snapToGrid/>
          <w:u w:val="single"/>
        </w:rPr>
        <w:t>Non-negotiable</w:t>
      </w:r>
      <w:proofErr w:type="gramEnd"/>
      <w:r w:rsidRPr="00F37199">
        <w:rPr>
          <w:rFonts w:eastAsia="Aptos"/>
          <w:b w:val="0"/>
          <w:snapToGrid/>
          <w:u w:val="single"/>
        </w:rPr>
        <w:t xml:space="preserve"> interest bearing time certificates of deposit, or savings accounts in banks organized under the laws of this state or in national banks organized under the laws of the United States and doing business in this state, provided that any such deposits are secured by the Florida Security for Public Deposits Act, Chapter 280, Florida Statutes. </w:t>
      </w:r>
    </w:p>
    <w:p w14:paraId="1533A4C1" w14:textId="77777777" w:rsidR="00F37199" w:rsidRPr="00F37199" w:rsidRDefault="00F37199" w:rsidP="00F37199">
      <w:pPr>
        <w:widowControl/>
        <w:spacing w:before="40" w:after="120"/>
        <w:ind w:left="950" w:hanging="475"/>
        <w:jc w:val="both"/>
        <w:rPr>
          <w:rFonts w:eastAsia="Aptos"/>
          <w:b w:val="0"/>
          <w:snapToGrid/>
          <w:u w:val="single"/>
        </w:rPr>
      </w:pPr>
      <w:r w:rsidRPr="00F37199">
        <w:rPr>
          <w:rFonts w:eastAsia="Aptos"/>
          <w:b w:val="0"/>
          <w:snapToGrid/>
          <w:u w:val="single"/>
        </w:rPr>
        <w:t>(9)</w:t>
      </w:r>
      <w:r w:rsidRPr="00F37199">
        <w:rPr>
          <w:rFonts w:eastAsia="Aptos"/>
          <w:b w:val="0"/>
          <w:snapToGrid/>
          <w:u w:val="single"/>
        </w:rPr>
        <w:tab/>
        <w:t xml:space="preserve">Commercial paper—U.S. dollar denominated commercial paper issued or guaranteed by a domestic corporation, company, financial institution, trust or other entity, only unsecured debt permitted. Obligation must have highest ST rating (A-1/P-1, or equivalent). </w:t>
      </w:r>
    </w:p>
    <w:p w14:paraId="79444B90" w14:textId="77777777" w:rsidR="00F37199" w:rsidRPr="00F37199" w:rsidRDefault="00F37199" w:rsidP="00F37199">
      <w:pPr>
        <w:widowControl/>
        <w:spacing w:before="40" w:after="120"/>
        <w:ind w:left="950" w:hanging="475"/>
        <w:jc w:val="both"/>
        <w:rPr>
          <w:rFonts w:eastAsia="Aptos"/>
          <w:b w:val="0"/>
          <w:snapToGrid/>
          <w:u w:val="single"/>
        </w:rPr>
      </w:pPr>
      <w:r w:rsidRPr="00F37199">
        <w:rPr>
          <w:rFonts w:eastAsia="Aptos"/>
          <w:b w:val="0"/>
          <w:snapToGrid/>
          <w:u w:val="single"/>
        </w:rPr>
        <w:t>(10)</w:t>
      </w:r>
      <w:r w:rsidRPr="00F37199">
        <w:rPr>
          <w:rFonts w:eastAsia="Aptos"/>
          <w:b w:val="0"/>
          <w:snapToGrid/>
          <w:u w:val="single"/>
        </w:rPr>
        <w:tab/>
        <w:t xml:space="preserve">Repurchase agreements—Repurchase agreements (Repo or RP) that meet the following requirements: </w:t>
      </w:r>
    </w:p>
    <w:p w14:paraId="4C13D025" w14:textId="77777777" w:rsidR="00F37199" w:rsidRPr="00F37199" w:rsidRDefault="00F37199" w:rsidP="00F37199">
      <w:pPr>
        <w:widowControl/>
        <w:spacing w:before="40" w:after="120"/>
        <w:ind w:left="950" w:hanging="475"/>
        <w:jc w:val="both"/>
        <w:rPr>
          <w:rFonts w:eastAsia="Aptos"/>
          <w:b w:val="0"/>
          <w:snapToGrid/>
          <w:u w:val="single"/>
        </w:rPr>
      </w:pPr>
      <w:r w:rsidRPr="00F37199">
        <w:rPr>
          <w:rFonts w:eastAsia="Aptos"/>
          <w:b w:val="0"/>
          <w:snapToGrid/>
          <w:u w:val="single"/>
        </w:rPr>
        <w:t>(11)</w:t>
      </w:r>
      <w:r w:rsidRPr="00F37199">
        <w:rPr>
          <w:rFonts w:eastAsia="Aptos"/>
          <w:b w:val="0"/>
          <w:snapToGrid/>
          <w:u w:val="single"/>
        </w:rPr>
        <w:tab/>
        <w:t xml:space="preserve">Must be governed by a written Securities Industry and Financial Markets Association (SIFMA) Master Repurchase Agreement which specifies securities eligible for purchase and resale, and which provides the unconditional right to liquidate the underlying securities should the counterparty default or fail to provide full timely repayment. </w:t>
      </w:r>
      <w:proofErr w:type="gramStart"/>
      <w:r w:rsidRPr="00F37199">
        <w:rPr>
          <w:rFonts w:eastAsia="Aptos"/>
          <w:b w:val="0"/>
          <w:snapToGrid/>
          <w:u w:val="single"/>
        </w:rPr>
        <w:t>Counterparty</w:t>
      </w:r>
      <w:proofErr w:type="gramEnd"/>
      <w:r w:rsidRPr="00F37199">
        <w:rPr>
          <w:rFonts w:eastAsia="Aptos"/>
          <w:b w:val="0"/>
          <w:snapToGrid/>
          <w:u w:val="single"/>
        </w:rPr>
        <w:t xml:space="preserve"> must be a Federal Reserve Bank, a primary dealer as designated by the Federal Reserve Bank of New York, or a nationally chartered commercial bank. Securities underlying repurchase agreements must be delivered to a </w:t>
      </w:r>
      <w:proofErr w:type="gramStart"/>
      <w:r w:rsidRPr="00F37199">
        <w:rPr>
          <w:rFonts w:eastAsia="Aptos"/>
          <w:b w:val="0"/>
          <w:snapToGrid/>
          <w:u w:val="single"/>
        </w:rPr>
        <w:t>third party</w:t>
      </w:r>
      <w:proofErr w:type="gramEnd"/>
      <w:r w:rsidRPr="00F37199">
        <w:rPr>
          <w:rFonts w:eastAsia="Aptos"/>
          <w:b w:val="0"/>
          <w:snapToGrid/>
          <w:u w:val="single"/>
        </w:rPr>
        <w:t xml:space="preserve"> custodian under a written custodial agreement and may be </w:t>
      </w:r>
      <w:proofErr w:type="gramStart"/>
      <w:r w:rsidRPr="00F37199">
        <w:rPr>
          <w:rFonts w:eastAsia="Aptos"/>
          <w:b w:val="0"/>
          <w:snapToGrid/>
          <w:u w:val="single"/>
        </w:rPr>
        <w:t>of</w:t>
      </w:r>
      <w:proofErr w:type="gramEnd"/>
      <w:r w:rsidRPr="00F37199">
        <w:rPr>
          <w:rFonts w:eastAsia="Aptos"/>
          <w:b w:val="0"/>
          <w:snapToGrid/>
          <w:u w:val="single"/>
        </w:rPr>
        <w:t xml:space="preserve"> deliverable or tri-party form. Securities must be held in the city’s custodial account or in a separate account in the name of the city. Acceptable underlying securities include only securities that are direct obligations of, or that are fully guaranteed by, the United States or any agency of the </w:t>
      </w:r>
      <w:r w:rsidRPr="00F37199">
        <w:rPr>
          <w:rFonts w:eastAsia="Aptos"/>
          <w:b w:val="0"/>
          <w:snapToGrid/>
          <w:u w:val="single"/>
        </w:rPr>
        <w:lastRenderedPageBreak/>
        <w:t xml:space="preserve">United States, or U.S. Agency-backed mortgage related securities. Underlying securities must have an aggregate current market value of at least 102% (or 100% if the counterparty is a Federal Reserve Bank) of the purchase price plus current accrued price differential at the close of each business day. </w:t>
      </w:r>
      <w:proofErr w:type="gramStart"/>
      <w:r w:rsidRPr="00F37199">
        <w:rPr>
          <w:rFonts w:eastAsia="Aptos"/>
          <w:b w:val="0"/>
          <w:snapToGrid/>
          <w:u w:val="single"/>
        </w:rPr>
        <w:t>Final</w:t>
      </w:r>
      <w:proofErr w:type="gramEnd"/>
      <w:r w:rsidRPr="00F37199">
        <w:rPr>
          <w:rFonts w:eastAsia="Aptos"/>
          <w:b w:val="0"/>
          <w:snapToGrid/>
          <w:u w:val="single"/>
        </w:rPr>
        <w:t xml:space="preserve"> term of the agreement must be one year or less. </w:t>
      </w:r>
    </w:p>
    <w:p w14:paraId="2F24E699" w14:textId="77777777" w:rsidR="00F37199" w:rsidRPr="00F37199" w:rsidRDefault="00F37199" w:rsidP="00F37199">
      <w:pPr>
        <w:widowControl/>
        <w:spacing w:before="40" w:after="120"/>
        <w:ind w:left="950" w:hanging="475"/>
        <w:jc w:val="both"/>
        <w:rPr>
          <w:rFonts w:eastAsia="Aptos"/>
          <w:b w:val="0"/>
          <w:snapToGrid/>
          <w:u w:val="single"/>
        </w:rPr>
      </w:pPr>
      <w:r w:rsidRPr="00F37199">
        <w:rPr>
          <w:rFonts w:eastAsia="Aptos"/>
          <w:b w:val="0"/>
          <w:snapToGrid/>
          <w:u w:val="single"/>
        </w:rPr>
        <w:t>(12)</w:t>
      </w:r>
      <w:r w:rsidRPr="00F37199">
        <w:rPr>
          <w:rFonts w:eastAsia="Aptos"/>
          <w:b w:val="0"/>
          <w:snapToGrid/>
          <w:u w:val="single"/>
        </w:rPr>
        <w:tab/>
        <w:t xml:space="preserve">Money market funds—Shares in open-end and no-load money market mutual funds, provided such funds are registered under the Investment Company Act of 1940 and operate in accordance with Rule </w:t>
      </w:r>
      <w:proofErr w:type="spellStart"/>
      <w:r w:rsidRPr="00F37199">
        <w:rPr>
          <w:rFonts w:eastAsia="Aptos"/>
          <w:b w:val="0"/>
          <w:snapToGrid/>
          <w:u w:val="single"/>
        </w:rPr>
        <w:t>2a</w:t>
      </w:r>
      <w:proofErr w:type="spellEnd"/>
      <w:r w:rsidRPr="00F37199">
        <w:rPr>
          <w:rFonts w:eastAsia="Aptos"/>
          <w:b w:val="0"/>
          <w:snapToGrid/>
          <w:u w:val="single"/>
        </w:rPr>
        <w:t xml:space="preserve">-7. Fund must have the highest fund rating by all </w:t>
      </w:r>
      <w:proofErr w:type="spellStart"/>
      <w:r w:rsidRPr="00F37199">
        <w:rPr>
          <w:rFonts w:eastAsia="Aptos"/>
          <w:b w:val="0"/>
          <w:snapToGrid/>
          <w:u w:val="single"/>
        </w:rPr>
        <w:t>NRSROs</w:t>
      </w:r>
      <w:proofErr w:type="spellEnd"/>
      <w:r w:rsidRPr="00F37199">
        <w:rPr>
          <w:rFonts w:eastAsia="Aptos"/>
          <w:b w:val="0"/>
          <w:snapToGrid/>
          <w:u w:val="single"/>
        </w:rPr>
        <w:t xml:space="preserve"> who rate the fund (</w:t>
      </w:r>
      <w:proofErr w:type="spellStart"/>
      <w:r w:rsidRPr="00F37199">
        <w:rPr>
          <w:rFonts w:eastAsia="Aptos"/>
          <w:b w:val="0"/>
          <w:snapToGrid/>
          <w:u w:val="single"/>
        </w:rPr>
        <w:t>AAAm</w:t>
      </w:r>
      <w:proofErr w:type="spellEnd"/>
      <w:r w:rsidRPr="00F37199">
        <w:rPr>
          <w:rFonts w:eastAsia="Aptos"/>
          <w:b w:val="0"/>
          <w:snapToGrid/>
          <w:u w:val="single"/>
        </w:rPr>
        <w:t>/</w:t>
      </w:r>
      <w:proofErr w:type="spellStart"/>
      <w:r w:rsidRPr="00F37199">
        <w:rPr>
          <w:rFonts w:eastAsia="Aptos"/>
          <w:b w:val="0"/>
          <w:snapToGrid/>
          <w:u w:val="single"/>
        </w:rPr>
        <w:t>Aaa</w:t>
      </w:r>
      <w:proofErr w:type="spellEnd"/>
      <w:r w:rsidRPr="00F37199">
        <w:rPr>
          <w:rFonts w:eastAsia="Aptos"/>
          <w:b w:val="0"/>
          <w:snapToGrid/>
          <w:u w:val="single"/>
        </w:rPr>
        <w:t xml:space="preserve">-mf, or equivalent). </w:t>
      </w:r>
    </w:p>
    <w:p w14:paraId="35AF362D" w14:textId="77777777" w:rsidR="00F37199" w:rsidRPr="00F37199" w:rsidRDefault="00F37199" w:rsidP="00F37199">
      <w:pPr>
        <w:widowControl/>
        <w:spacing w:before="40" w:after="120"/>
        <w:ind w:left="950" w:hanging="475"/>
        <w:jc w:val="both"/>
        <w:rPr>
          <w:rFonts w:eastAsia="Aptos"/>
          <w:b w:val="0"/>
          <w:snapToGrid/>
          <w:u w:val="single"/>
        </w:rPr>
      </w:pPr>
      <w:r w:rsidRPr="00F37199">
        <w:rPr>
          <w:rFonts w:eastAsia="Aptos"/>
          <w:b w:val="0"/>
          <w:snapToGrid/>
          <w:u w:val="single"/>
        </w:rPr>
        <w:t>(13)</w:t>
      </w:r>
      <w:r w:rsidRPr="00F37199">
        <w:rPr>
          <w:rFonts w:eastAsia="Aptos"/>
          <w:b w:val="0"/>
          <w:snapToGrid/>
          <w:u w:val="single"/>
        </w:rPr>
        <w:tab/>
        <w:t>Florida Local Government Investment Trust (</w:t>
      </w:r>
      <w:proofErr w:type="spellStart"/>
      <w:r w:rsidRPr="00F37199">
        <w:rPr>
          <w:rFonts w:eastAsia="Aptos"/>
          <w:b w:val="0"/>
          <w:snapToGrid/>
          <w:u w:val="single"/>
        </w:rPr>
        <w:t>FLGIT</w:t>
      </w:r>
      <w:proofErr w:type="spellEnd"/>
      <w:r w:rsidRPr="00F37199">
        <w:rPr>
          <w:rFonts w:eastAsia="Aptos"/>
          <w:b w:val="0"/>
          <w:snapToGrid/>
          <w:u w:val="single"/>
        </w:rPr>
        <w:t>)—The Florida Local Government Investment Trust (</w:t>
      </w:r>
      <w:proofErr w:type="spellStart"/>
      <w:r w:rsidRPr="00F37199">
        <w:rPr>
          <w:rFonts w:eastAsia="Aptos"/>
          <w:b w:val="0"/>
          <w:snapToGrid/>
          <w:u w:val="single"/>
        </w:rPr>
        <w:t>FLGIT</w:t>
      </w:r>
      <w:proofErr w:type="spellEnd"/>
      <w:r w:rsidRPr="00F37199">
        <w:rPr>
          <w:rFonts w:eastAsia="Aptos"/>
          <w:b w:val="0"/>
          <w:snapToGrid/>
          <w:u w:val="single"/>
        </w:rPr>
        <w:t>) is a local government investment pool (</w:t>
      </w:r>
      <w:proofErr w:type="spellStart"/>
      <w:r w:rsidRPr="00F37199">
        <w:rPr>
          <w:rFonts w:eastAsia="Aptos"/>
          <w:b w:val="0"/>
          <w:snapToGrid/>
          <w:u w:val="single"/>
        </w:rPr>
        <w:t>LGIP</w:t>
      </w:r>
      <w:proofErr w:type="spellEnd"/>
      <w:r w:rsidRPr="00F37199">
        <w:rPr>
          <w:rFonts w:eastAsia="Aptos"/>
          <w:b w:val="0"/>
          <w:snapToGrid/>
          <w:u w:val="single"/>
        </w:rPr>
        <w:t>) developed through the joint efforts of the Florida Court Clerks and Comptrollers (</w:t>
      </w:r>
      <w:proofErr w:type="spellStart"/>
      <w:r w:rsidRPr="00F37199">
        <w:rPr>
          <w:rFonts w:eastAsia="Aptos"/>
          <w:b w:val="0"/>
          <w:snapToGrid/>
          <w:u w:val="single"/>
        </w:rPr>
        <w:t>FCCC</w:t>
      </w:r>
      <w:proofErr w:type="spellEnd"/>
      <w:r w:rsidRPr="00F37199">
        <w:rPr>
          <w:rFonts w:eastAsia="Aptos"/>
          <w:b w:val="0"/>
          <w:snapToGrid/>
          <w:u w:val="single"/>
        </w:rPr>
        <w:t xml:space="preserve">) and the Florida Association of Counties (FAC). It is the longest running member-owned and member-governed local government investment pool in the state of Florida. Fund must have the highest fund quality and volatility rating by all </w:t>
      </w:r>
      <w:proofErr w:type="spellStart"/>
      <w:r w:rsidRPr="00F37199">
        <w:rPr>
          <w:rFonts w:eastAsia="Aptos"/>
          <w:b w:val="0"/>
          <w:snapToGrid/>
          <w:u w:val="single"/>
        </w:rPr>
        <w:t>NRSROs</w:t>
      </w:r>
      <w:proofErr w:type="spellEnd"/>
      <w:r w:rsidRPr="00F37199">
        <w:rPr>
          <w:rFonts w:eastAsia="Aptos"/>
          <w:b w:val="0"/>
          <w:snapToGrid/>
          <w:u w:val="single"/>
        </w:rPr>
        <w:t xml:space="preserve"> who rate the fund (</w:t>
      </w:r>
      <w:proofErr w:type="spellStart"/>
      <w:r w:rsidRPr="00F37199">
        <w:rPr>
          <w:rFonts w:eastAsia="Aptos"/>
          <w:b w:val="0"/>
          <w:snapToGrid/>
          <w:u w:val="single"/>
        </w:rPr>
        <w:t>AAAm</w:t>
      </w:r>
      <w:proofErr w:type="spellEnd"/>
      <w:r w:rsidRPr="00F37199">
        <w:rPr>
          <w:rFonts w:eastAsia="Aptos"/>
          <w:b w:val="0"/>
          <w:snapToGrid/>
          <w:u w:val="single"/>
        </w:rPr>
        <w:t>/</w:t>
      </w:r>
      <w:proofErr w:type="spellStart"/>
      <w:r w:rsidRPr="00F37199">
        <w:rPr>
          <w:rFonts w:eastAsia="Aptos"/>
          <w:b w:val="0"/>
          <w:snapToGrid/>
          <w:u w:val="single"/>
        </w:rPr>
        <w:t>AAAf</w:t>
      </w:r>
      <w:proofErr w:type="spellEnd"/>
      <w:r w:rsidRPr="00F37199">
        <w:rPr>
          <w:rFonts w:eastAsia="Aptos"/>
          <w:b w:val="0"/>
          <w:snapToGrid/>
          <w:u w:val="single"/>
        </w:rPr>
        <w:t xml:space="preserve">, </w:t>
      </w:r>
      <w:proofErr w:type="spellStart"/>
      <w:r w:rsidRPr="00F37199">
        <w:rPr>
          <w:rFonts w:eastAsia="Aptos"/>
          <w:b w:val="0"/>
          <w:snapToGrid/>
          <w:u w:val="single"/>
        </w:rPr>
        <w:t>S1</w:t>
      </w:r>
      <w:proofErr w:type="spellEnd"/>
      <w:r w:rsidRPr="00F37199">
        <w:rPr>
          <w:rFonts w:eastAsia="Aptos"/>
          <w:b w:val="0"/>
          <w:snapToGrid/>
          <w:u w:val="single"/>
        </w:rPr>
        <w:t xml:space="preserve">, or equivalent). </w:t>
      </w:r>
    </w:p>
    <w:p w14:paraId="1DBE37D6" w14:textId="77777777" w:rsidR="00F37199" w:rsidRPr="00F37199" w:rsidRDefault="00F37199" w:rsidP="00F37199">
      <w:pPr>
        <w:widowControl/>
        <w:spacing w:before="40" w:after="120"/>
        <w:ind w:left="950" w:hanging="475"/>
        <w:jc w:val="both"/>
        <w:rPr>
          <w:rFonts w:eastAsia="Aptos"/>
          <w:b w:val="0"/>
          <w:snapToGrid/>
          <w:u w:val="single"/>
        </w:rPr>
      </w:pPr>
      <w:r w:rsidRPr="00F37199">
        <w:rPr>
          <w:rFonts w:eastAsia="Aptos"/>
          <w:b w:val="0"/>
          <w:snapToGrid/>
          <w:u w:val="single"/>
        </w:rPr>
        <w:t>(14)</w:t>
      </w:r>
      <w:r w:rsidRPr="00F37199">
        <w:rPr>
          <w:rFonts w:eastAsia="Aptos"/>
          <w:b w:val="0"/>
          <w:snapToGrid/>
          <w:u w:val="single"/>
        </w:rPr>
        <w:tab/>
        <w:t>Local government investment pools (</w:t>
      </w:r>
      <w:proofErr w:type="spellStart"/>
      <w:r w:rsidRPr="00F37199">
        <w:rPr>
          <w:rFonts w:eastAsia="Aptos"/>
          <w:b w:val="0"/>
          <w:snapToGrid/>
          <w:u w:val="single"/>
        </w:rPr>
        <w:t>LGIP</w:t>
      </w:r>
      <w:proofErr w:type="spellEnd"/>
      <w:r w:rsidRPr="00F37199">
        <w:rPr>
          <w:rFonts w:eastAsia="Aptos"/>
          <w:b w:val="0"/>
          <w:snapToGrid/>
          <w:u w:val="single"/>
        </w:rPr>
        <w:t xml:space="preserve">)—State, local government or privately-sponsored investment pools that are authorized pursuant to state law. </w:t>
      </w:r>
      <w:proofErr w:type="spellStart"/>
      <w:r w:rsidRPr="00F37199">
        <w:rPr>
          <w:rFonts w:eastAsia="Aptos"/>
          <w:b w:val="0"/>
          <w:snapToGrid/>
          <w:u w:val="single"/>
        </w:rPr>
        <w:t>LGIP</w:t>
      </w:r>
      <w:proofErr w:type="spellEnd"/>
      <w:r w:rsidRPr="00F37199">
        <w:rPr>
          <w:rFonts w:eastAsia="Aptos"/>
          <w:b w:val="0"/>
          <w:snapToGrid/>
          <w:u w:val="single"/>
        </w:rPr>
        <w:t xml:space="preserve"> must have the highest fund quality and volatility rating by all </w:t>
      </w:r>
      <w:proofErr w:type="spellStart"/>
      <w:r w:rsidRPr="00F37199">
        <w:rPr>
          <w:rFonts w:eastAsia="Aptos"/>
          <w:b w:val="0"/>
          <w:snapToGrid/>
          <w:u w:val="single"/>
        </w:rPr>
        <w:t>NRSROs</w:t>
      </w:r>
      <w:proofErr w:type="spellEnd"/>
      <w:r w:rsidRPr="00F37199">
        <w:rPr>
          <w:rFonts w:eastAsia="Aptos"/>
          <w:b w:val="0"/>
          <w:snapToGrid/>
          <w:u w:val="single"/>
        </w:rPr>
        <w:t xml:space="preserve"> who rate the </w:t>
      </w:r>
      <w:proofErr w:type="spellStart"/>
      <w:r w:rsidRPr="00F37199">
        <w:rPr>
          <w:rFonts w:eastAsia="Aptos"/>
          <w:b w:val="0"/>
          <w:snapToGrid/>
          <w:u w:val="single"/>
        </w:rPr>
        <w:t>LGIP</w:t>
      </w:r>
      <w:proofErr w:type="spellEnd"/>
      <w:r w:rsidRPr="00F37199">
        <w:rPr>
          <w:rFonts w:eastAsia="Aptos"/>
          <w:b w:val="0"/>
          <w:snapToGrid/>
          <w:u w:val="single"/>
        </w:rPr>
        <w:t xml:space="preserve"> (</w:t>
      </w:r>
      <w:proofErr w:type="spellStart"/>
      <w:r w:rsidRPr="00F37199">
        <w:rPr>
          <w:rFonts w:eastAsia="Aptos"/>
          <w:b w:val="0"/>
          <w:snapToGrid/>
          <w:u w:val="single"/>
        </w:rPr>
        <w:t>AAAm</w:t>
      </w:r>
      <w:proofErr w:type="spellEnd"/>
      <w:r w:rsidRPr="00F37199">
        <w:rPr>
          <w:rFonts w:eastAsia="Aptos"/>
          <w:b w:val="0"/>
          <w:snapToGrid/>
          <w:u w:val="single"/>
        </w:rPr>
        <w:t>/</w:t>
      </w:r>
      <w:proofErr w:type="spellStart"/>
      <w:r w:rsidRPr="00F37199">
        <w:rPr>
          <w:rFonts w:eastAsia="Aptos"/>
          <w:b w:val="0"/>
          <w:snapToGrid/>
          <w:u w:val="single"/>
        </w:rPr>
        <w:t>AAAf</w:t>
      </w:r>
      <w:proofErr w:type="spellEnd"/>
      <w:r w:rsidRPr="00F37199">
        <w:rPr>
          <w:rFonts w:eastAsia="Aptos"/>
          <w:b w:val="0"/>
          <w:snapToGrid/>
          <w:u w:val="single"/>
        </w:rPr>
        <w:t xml:space="preserve">, </w:t>
      </w:r>
      <w:proofErr w:type="spellStart"/>
      <w:r w:rsidRPr="00F37199">
        <w:rPr>
          <w:rFonts w:eastAsia="Aptos"/>
          <w:b w:val="0"/>
          <w:snapToGrid/>
          <w:u w:val="single"/>
        </w:rPr>
        <w:t>S1</w:t>
      </w:r>
      <w:proofErr w:type="spellEnd"/>
      <w:r w:rsidRPr="00F37199">
        <w:rPr>
          <w:rFonts w:eastAsia="Aptos"/>
          <w:b w:val="0"/>
          <w:snapToGrid/>
          <w:u w:val="single"/>
        </w:rPr>
        <w:t xml:space="preserve">, or equivalent). </w:t>
      </w:r>
    </w:p>
    <w:p w14:paraId="2570DE44" w14:textId="77777777" w:rsidR="00F37199" w:rsidRPr="00F37199" w:rsidRDefault="00F37199" w:rsidP="00F37199">
      <w:pPr>
        <w:widowControl/>
        <w:spacing w:before="40" w:after="120"/>
        <w:ind w:left="950" w:hanging="475"/>
        <w:jc w:val="both"/>
        <w:rPr>
          <w:rFonts w:eastAsia="Aptos"/>
          <w:b w:val="0"/>
          <w:snapToGrid/>
          <w:u w:val="single"/>
        </w:rPr>
      </w:pPr>
      <w:r w:rsidRPr="00F37199">
        <w:rPr>
          <w:rFonts w:eastAsia="Aptos"/>
          <w:b w:val="0"/>
          <w:snapToGrid/>
          <w:u w:val="single"/>
        </w:rPr>
        <w:t>(15)</w:t>
      </w:r>
      <w:r w:rsidRPr="00F37199">
        <w:rPr>
          <w:rFonts w:eastAsia="Aptos"/>
          <w:b w:val="0"/>
          <w:snapToGrid/>
          <w:u w:val="single"/>
        </w:rPr>
        <w:tab/>
        <w:t xml:space="preserve">The Florida Local Government Surplus Funds Trust Funds ("Florida Prime")—A thorough investigation of the Florida Prime is required prior to investing, and on an annual basis. Fund must have the highest fund rating by all </w:t>
      </w:r>
      <w:proofErr w:type="spellStart"/>
      <w:r w:rsidRPr="00F37199">
        <w:rPr>
          <w:rFonts w:eastAsia="Aptos"/>
          <w:b w:val="0"/>
          <w:snapToGrid/>
          <w:u w:val="single"/>
        </w:rPr>
        <w:t>NRSROs</w:t>
      </w:r>
      <w:proofErr w:type="spellEnd"/>
      <w:r w:rsidRPr="00F37199">
        <w:rPr>
          <w:rFonts w:eastAsia="Aptos"/>
          <w:b w:val="0"/>
          <w:snapToGrid/>
          <w:u w:val="single"/>
        </w:rPr>
        <w:t xml:space="preserve"> who rate the fund (</w:t>
      </w:r>
      <w:proofErr w:type="spellStart"/>
      <w:r w:rsidRPr="00F37199">
        <w:rPr>
          <w:rFonts w:eastAsia="Aptos"/>
          <w:b w:val="0"/>
          <w:snapToGrid/>
          <w:u w:val="single"/>
        </w:rPr>
        <w:t>AAAm</w:t>
      </w:r>
      <w:proofErr w:type="spellEnd"/>
      <w:r w:rsidRPr="00F37199">
        <w:rPr>
          <w:rFonts w:eastAsia="Aptos"/>
          <w:b w:val="0"/>
          <w:snapToGrid/>
          <w:u w:val="single"/>
        </w:rPr>
        <w:t>/</w:t>
      </w:r>
      <w:proofErr w:type="spellStart"/>
      <w:r w:rsidRPr="00F37199">
        <w:rPr>
          <w:rFonts w:eastAsia="Aptos"/>
          <w:b w:val="0"/>
          <w:snapToGrid/>
          <w:u w:val="single"/>
        </w:rPr>
        <w:t>Aaa</w:t>
      </w:r>
      <w:proofErr w:type="spellEnd"/>
      <w:r w:rsidRPr="00F37199">
        <w:rPr>
          <w:rFonts w:eastAsia="Aptos"/>
          <w:b w:val="0"/>
          <w:snapToGrid/>
          <w:u w:val="single"/>
        </w:rPr>
        <w:t xml:space="preserve">-mf, or equivalent). </w:t>
      </w:r>
    </w:p>
    <w:p w14:paraId="760BA227" w14:textId="77777777" w:rsidR="00F37199" w:rsidRPr="00F37199" w:rsidRDefault="00F37199" w:rsidP="00F37199">
      <w:pPr>
        <w:widowControl/>
        <w:spacing w:before="40" w:after="120"/>
        <w:ind w:left="475" w:hanging="475"/>
        <w:jc w:val="both"/>
        <w:rPr>
          <w:rFonts w:eastAsia="Aptos"/>
          <w:b w:val="0"/>
          <w:snapToGrid/>
          <w:u w:val="single"/>
        </w:rPr>
      </w:pPr>
      <w:r w:rsidRPr="00F37199">
        <w:rPr>
          <w:rFonts w:eastAsia="Aptos"/>
          <w:b w:val="0"/>
          <w:snapToGrid/>
          <w:u w:val="single"/>
        </w:rPr>
        <w:t>(b)</w:t>
      </w:r>
      <w:r w:rsidRPr="00F37199">
        <w:rPr>
          <w:rFonts w:eastAsia="Aptos"/>
          <w:b w:val="0"/>
          <w:snapToGrid/>
          <w:u w:val="single"/>
        </w:rPr>
        <w:tab/>
      </w:r>
      <w:r w:rsidRPr="00F37199">
        <w:rPr>
          <w:rFonts w:eastAsia="Aptos"/>
          <w:b w:val="0"/>
          <w:i/>
          <w:snapToGrid/>
          <w:u w:val="single"/>
        </w:rPr>
        <w:t>Investment authorization of manager.</w:t>
      </w:r>
    </w:p>
    <w:p w14:paraId="3758AF00" w14:textId="77777777" w:rsidR="00F37199" w:rsidRPr="00F37199" w:rsidRDefault="00F37199" w:rsidP="00F37199">
      <w:pPr>
        <w:widowControl/>
        <w:spacing w:before="40" w:after="120"/>
        <w:ind w:left="950" w:hanging="475"/>
        <w:jc w:val="both"/>
        <w:rPr>
          <w:rFonts w:eastAsia="Aptos"/>
          <w:b w:val="0"/>
          <w:snapToGrid/>
          <w:u w:val="single"/>
        </w:rPr>
      </w:pPr>
      <w:r w:rsidRPr="00F37199">
        <w:rPr>
          <w:rFonts w:eastAsia="Aptos"/>
          <w:b w:val="0"/>
          <w:snapToGrid/>
          <w:u w:val="single"/>
        </w:rPr>
        <w:t>(1)</w:t>
      </w:r>
      <w:r w:rsidRPr="00F37199">
        <w:rPr>
          <w:rFonts w:eastAsia="Aptos"/>
          <w:b w:val="0"/>
          <w:snapToGrid/>
          <w:u w:val="single"/>
        </w:rPr>
        <w:tab/>
        <w:t xml:space="preserve">The city manager, or his or her designee, is hereby authorized to establish investment procedures, including performance measurements, </w:t>
      </w:r>
      <w:proofErr w:type="gramStart"/>
      <w:r w:rsidRPr="00F37199">
        <w:rPr>
          <w:rFonts w:eastAsia="Aptos"/>
          <w:b w:val="0"/>
          <w:snapToGrid/>
          <w:u w:val="single"/>
        </w:rPr>
        <w:t>as well as,</w:t>
      </w:r>
      <w:proofErr w:type="gramEnd"/>
      <w:r w:rsidRPr="00F37199">
        <w:rPr>
          <w:rFonts w:eastAsia="Aptos"/>
          <w:b w:val="0"/>
          <w:snapToGrid/>
          <w:u w:val="single"/>
        </w:rPr>
        <w:t xml:space="preserve"> maturity, allocation and liquidity limits for investments authorized in this ordinance. To the extent possible an attempt will be made to match investment maturities with known cash needs and anticipated cash flow requirements. Investments of current operating funds shall have maturities of no longer than 36 months. Investments of bond reserves, construction funds, and other non-operating funds shall have a term appropriate to the need for funds and in accordance with debt covenants, but in no event shall exceed five and one-half years. </w:t>
      </w:r>
    </w:p>
    <w:p w14:paraId="603E5E27" w14:textId="77777777" w:rsidR="00F37199" w:rsidRPr="00F37199" w:rsidRDefault="00F37199" w:rsidP="00F37199">
      <w:pPr>
        <w:keepNext/>
        <w:keepLines/>
        <w:widowControl/>
        <w:spacing w:before="180" w:after="120" w:line="276" w:lineRule="auto"/>
        <w:ind w:left="950" w:hanging="950"/>
        <w:outlineLvl w:val="5"/>
        <w:rPr>
          <w:rFonts w:eastAsia="Aptos"/>
          <w:snapToGrid/>
        </w:rPr>
      </w:pPr>
      <w:r w:rsidRPr="00F37199">
        <w:rPr>
          <w:rFonts w:eastAsia="Aptos"/>
          <w:snapToGrid/>
        </w:rPr>
        <w:t>Secs. 2-12</w:t>
      </w:r>
      <w:r w:rsidRPr="00F37199">
        <w:rPr>
          <w:rFonts w:eastAsia="Aptos"/>
          <w:strike/>
          <w:snapToGrid/>
        </w:rPr>
        <w:t>1</w:t>
      </w:r>
      <w:r w:rsidRPr="00F37199">
        <w:rPr>
          <w:rFonts w:eastAsia="Aptos"/>
          <w:snapToGrid/>
          <w:u w:val="single"/>
        </w:rPr>
        <w:t>2</w:t>
      </w:r>
      <w:r w:rsidRPr="00F37199">
        <w:rPr>
          <w:rFonts w:eastAsia="Aptos"/>
          <w:snapToGrid/>
        </w:rPr>
        <w:t>—2-150. Reserved.</w:t>
      </w:r>
    </w:p>
    <w:p w14:paraId="76B2AA1C" w14:textId="77777777" w:rsidR="00F37199" w:rsidRPr="00F37199" w:rsidRDefault="00F37199" w:rsidP="00F37199">
      <w:pPr>
        <w:widowControl/>
        <w:jc w:val="both"/>
        <w:textAlignment w:val="baseline"/>
        <w:rPr>
          <w:rFonts w:ascii="Segoe UI" w:hAnsi="Segoe UI" w:cs="Segoe UI"/>
          <w:bCs/>
          <w:snapToGrid/>
          <w:sz w:val="18"/>
          <w:szCs w:val="18"/>
        </w:rPr>
      </w:pPr>
      <w:r w:rsidRPr="00F37199">
        <w:rPr>
          <w:bCs/>
          <w:snapToGrid/>
        </w:rPr>
        <w:t>Section 2.</w:t>
      </w:r>
      <w:r w:rsidRPr="00F37199">
        <w:rPr>
          <w:b w:val="0"/>
          <w:snapToGrid/>
        </w:rPr>
        <w:t>  Conflict.  All ordinances or parts of ordinances in conflict herewith are hereby repealed to the extent of such conflict.</w:t>
      </w:r>
      <w:r w:rsidRPr="00F37199">
        <w:rPr>
          <w:bCs/>
          <w:snapToGrid/>
        </w:rPr>
        <w:t> </w:t>
      </w:r>
    </w:p>
    <w:p w14:paraId="3F34EC0F" w14:textId="77777777" w:rsidR="00F37199" w:rsidRPr="00F37199" w:rsidRDefault="00F37199" w:rsidP="00F37199">
      <w:pPr>
        <w:widowControl/>
        <w:jc w:val="both"/>
        <w:textAlignment w:val="baseline"/>
        <w:rPr>
          <w:rFonts w:ascii="Segoe UI" w:hAnsi="Segoe UI" w:cs="Segoe UI"/>
          <w:bCs/>
          <w:snapToGrid/>
          <w:sz w:val="18"/>
          <w:szCs w:val="18"/>
        </w:rPr>
      </w:pPr>
      <w:r w:rsidRPr="00F37199">
        <w:rPr>
          <w:bCs/>
          <w:snapToGrid/>
        </w:rPr>
        <w:t> </w:t>
      </w:r>
    </w:p>
    <w:p w14:paraId="6C50C6E6" w14:textId="77777777" w:rsidR="00F37199" w:rsidRPr="00F37199" w:rsidRDefault="00F37199" w:rsidP="00F37199">
      <w:pPr>
        <w:widowControl/>
        <w:jc w:val="both"/>
        <w:textAlignment w:val="baseline"/>
        <w:rPr>
          <w:rFonts w:ascii="Segoe UI" w:hAnsi="Segoe UI" w:cs="Segoe UI"/>
          <w:bCs/>
          <w:snapToGrid/>
          <w:sz w:val="18"/>
          <w:szCs w:val="18"/>
        </w:rPr>
      </w:pPr>
      <w:r w:rsidRPr="00F37199">
        <w:rPr>
          <w:bCs/>
          <w:snapToGrid/>
        </w:rPr>
        <w:t xml:space="preserve">Section 3.  </w:t>
      </w:r>
      <w:r w:rsidRPr="00F37199">
        <w:rPr>
          <w:b w:val="0"/>
          <w:snapToGrid/>
        </w:rPr>
        <w:t xml:space="preserve">Inclusion in the Code, Scrivener’s Error.  It is the intention of the City Commission of the City of Newberry, Florida, and it is hereby provided that the provisions of this Ordinance shall become and made part of the Code of Ordinances of the City of Newberry, Florida; that the sections of this Ordinance may be renumbered or re-lettered to accomplish such intention; and that the word “ordinance” may be changed to “section,” “article,” or other appropriate designation.  The correction of typographical errors which do not affect the intent of the ordinance may be authorized </w:t>
      </w:r>
      <w:r w:rsidRPr="00F37199">
        <w:rPr>
          <w:b w:val="0"/>
          <w:snapToGrid/>
        </w:rPr>
        <w:lastRenderedPageBreak/>
        <w:t xml:space="preserve">by the City Manager or </w:t>
      </w:r>
      <w:proofErr w:type="gramStart"/>
      <w:r w:rsidRPr="00F37199">
        <w:rPr>
          <w:b w:val="0"/>
          <w:snapToGrid/>
        </w:rPr>
        <w:t>designee</w:t>
      </w:r>
      <w:proofErr w:type="gramEnd"/>
      <w:r w:rsidRPr="00F37199">
        <w:rPr>
          <w:b w:val="0"/>
          <w:snapToGrid/>
        </w:rPr>
        <w:t xml:space="preserve"> without public hearing, by filing a corrected or re-codified copy of the same with the City.  </w:t>
      </w:r>
      <w:r w:rsidRPr="00F37199">
        <w:rPr>
          <w:bCs/>
          <w:snapToGrid/>
        </w:rPr>
        <w:t> </w:t>
      </w:r>
    </w:p>
    <w:p w14:paraId="71EB6262" w14:textId="77777777" w:rsidR="00F37199" w:rsidRPr="00F37199" w:rsidRDefault="00F37199" w:rsidP="00F37199">
      <w:pPr>
        <w:widowControl/>
        <w:ind w:firstLine="1440"/>
        <w:jc w:val="both"/>
        <w:textAlignment w:val="baseline"/>
        <w:rPr>
          <w:rFonts w:ascii="Segoe UI" w:hAnsi="Segoe UI" w:cs="Segoe UI"/>
          <w:bCs/>
          <w:snapToGrid/>
          <w:sz w:val="18"/>
          <w:szCs w:val="18"/>
        </w:rPr>
      </w:pPr>
      <w:r w:rsidRPr="00F37199">
        <w:rPr>
          <w:bCs/>
          <w:snapToGrid/>
        </w:rPr>
        <w:t> </w:t>
      </w:r>
    </w:p>
    <w:p w14:paraId="6E2A3B1E" w14:textId="77777777" w:rsidR="00F37199" w:rsidRPr="00F37199" w:rsidRDefault="00F37199" w:rsidP="00F37199">
      <w:pPr>
        <w:widowControl/>
        <w:jc w:val="both"/>
        <w:textAlignment w:val="baseline"/>
        <w:rPr>
          <w:rFonts w:ascii="Segoe UI" w:hAnsi="Segoe UI" w:cs="Segoe UI"/>
          <w:bCs/>
          <w:snapToGrid/>
          <w:sz w:val="18"/>
          <w:szCs w:val="18"/>
        </w:rPr>
      </w:pPr>
      <w:r w:rsidRPr="00F37199">
        <w:rPr>
          <w:bCs/>
          <w:snapToGrid/>
        </w:rPr>
        <w:t>Section 4.</w:t>
      </w:r>
      <w:r w:rsidRPr="00F37199">
        <w:rPr>
          <w:b w:val="0"/>
          <w:snapToGrid/>
        </w:rPr>
        <w:t>  Effective Date.  This Ordinance shall take effect upon its passage at the second and final reading.  </w:t>
      </w:r>
      <w:r w:rsidRPr="00F37199">
        <w:rPr>
          <w:bCs/>
          <w:snapToGrid/>
        </w:rPr>
        <w:t> </w:t>
      </w:r>
    </w:p>
    <w:p w14:paraId="652ACEEE" w14:textId="77777777" w:rsidR="00F37199" w:rsidRPr="00F37199" w:rsidRDefault="00F37199" w:rsidP="00F37199">
      <w:pPr>
        <w:jc w:val="both"/>
      </w:pPr>
    </w:p>
    <w:p w14:paraId="365162FE" w14:textId="770DD374" w:rsidR="00F37199" w:rsidRPr="00F37199" w:rsidRDefault="00F37199" w:rsidP="00F37199">
      <w:pPr>
        <w:ind w:firstLine="720"/>
        <w:jc w:val="both"/>
        <w:rPr>
          <w:b w:val="0"/>
        </w:rPr>
      </w:pPr>
      <w:r w:rsidRPr="00F37199">
        <w:t xml:space="preserve">DONE THE FIRST READING, </w:t>
      </w:r>
      <w:r w:rsidRPr="00F37199">
        <w:rPr>
          <w:b w:val="0"/>
        </w:rPr>
        <w:t>by the City Commission of the City of Newberry, Florida, at a regular meeting, this __</w:t>
      </w:r>
      <w:r w:rsidR="00254666" w:rsidRPr="00254666">
        <w:rPr>
          <w:b w:val="0"/>
          <w:u w:val="single"/>
        </w:rPr>
        <w:t>8th</w:t>
      </w:r>
      <w:r w:rsidRPr="00F37199">
        <w:rPr>
          <w:b w:val="0"/>
        </w:rPr>
        <w:t>___ day of ___</w:t>
      </w:r>
      <w:r w:rsidR="00254666" w:rsidRPr="00254666">
        <w:rPr>
          <w:b w:val="0"/>
          <w:u w:val="single"/>
        </w:rPr>
        <w:t>April</w:t>
      </w:r>
      <w:r w:rsidRPr="00F37199">
        <w:rPr>
          <w:b w:val="0"/>
        </w:rPr>
        <w:t>____, 20</w:t>
      </w:r>
      <w:r w:rsidR="00254666" w:rsidRPr="00254666">
        <w:rPr>
          <w:b w:val="0"/>
        </w:rPr>
        <w:t>24.</w:t>
      </w:r>
    </w:p>
    <w:p w14:paraId="6B4F7EA4" w14:textId="77777777" w:rsidR="00F37199" w:rsidRPr="00F37199" w:rsidRDefault="00F37199" w:rsidP="00F37199">
      <w:pPr>
        <w:jc w:val="both"/>
        <w:rPr>
          <w:b w:val="0"/>
        </w:rPr>
      </w:pPr>
    </w:p>
    <w:p w14:paraId="63BA47A5" w14:textId="5702517E" w:rsidR="00F37199" w:rsidRPr="00F37199" w:rsidRDefault="00F37199" w:rsidP="00F37199">
      <w:pPr>
        <w:ind w:firstLine="720"/>
        <w:jc w:val="both"/>
        <w:rPr>
          <w:b w:val="0"/>
        </w:rPr>
      </w:pPr>
      <w:r w:rsidRPr="00F37199">
        <w:t xml:space="preserve">DONE, THE PUBLIC NOTICE, </w:t>
      </w:r>
      <w:r w:rsidRPr="00F37199">
        <w:rPr>
          <w:b w:val="0"/>
        </w:rPr>
        <w:t xml:space="preserve">in a newspaper of general circulation in the City of Newberry, Florida, by the City Clerk of the City of Newberry, Florida on the </w:t>
      </w:r>
      <w:r w:rsidR="00254666" w:rsidRPr="00F37199">
        <w:rPr>
          <w:b w:val="0"/>
        </w:rPr>
        <w:t>__</w:t>
      </w:r>
      <w:r w:rsidR="00254666" w:rsidRPr="00254666">
        <w:rPr>
          <w:b w:val="0"/>
          <w:u w:val="single"/>
        </w:rPr>
        <w:t>11</w:t>
      </w:r>
      <w:r w:rsidR="00254666" w:rsidRPr="00254666">
        <w:rPr>
          <w:b w:val="0"/>
          <w:u w:val="single"/>
        </w:rPr>
        <w:t>th</w:t>
      </w:r>
      <w:r w:rsidR="00254666" w:rsidRPr="00F37199">
        <w:rPr>
          <w:b w:val="0"/>
        </w:rPr>
        <w:t>___ day of ___</w:t>
      </w:r>
      <w:r w:rsidR="00254666" w:rsidRPr="00254666">
        <w:rPr>
          <w:b w:val="0"/>
          <w:u w:val="single"/>
        </w:rPr>
        <w:t>April</w:t>
      </w:r>
      <w:r w:rsidR="00254666" w:rsidRPr="00F37199">
        <w:rPr>
          <w:b w:val="0"/>
        </w:rPr>
        <w:t>____, 20</w:t>
      </w:r>
      <w:r w:rsidR="00254666" w:rsidRPr="00254666">
        <w:rPr>
          <w:b w:val="0"/>
        </w:rPr>
        <w:t>24.</w:t>
      </w:r>
    </w:p>
    <w:p w14:paraId="7C5B7EB2" w14:textId="77777777" w:rsidR="00F37199" w:rsidRPr="00F37199" w:rsidRDefault="00F37199" w:rsidP="00F37199">
      <w:pPr>
        <w:jc w:val="both"/>
        <w:rPr>
          <w:b w:val="0"/>
        </w:rPr>
      </w:pPr>
    </w:p>
    <w:p w14:paraId="5D18793C" w14:textId="7EA6264D" w:rsidR="00F37199" w:rsidRPr="00F37199" w:rsidRDefault="00F37199" w:rsidP="00F37199">
      <w:pPr>
        <w:ind w:firstLine="720"/>
        <w:jc w:val="both"/>
        <w:rPr>
          <w:b w:val="0"/>
        </w:rPr>
      </w:pPr>
      <w:r w:rsidRPr="00F37199">
        <w:t xml:space="preserve">DONE THE SECOND READING, AND ADOPTED ON FINAL PASSAGE, </w:t>
      </w:r>
      <w:r w:rsidRPr="00F37199">
        <w:rPr>
          <w:b w:val="0"/>
        </w:rPr>
        <w:t>by an affirmative vote of a majority of a quorum present of the City Commission of the City of Newberry, Florida, at a regular meeting, this</w:t>
      </w:r>
      <w:r w:rsidR="00254666" w:rsidRPr="00F37199">
        <w:rPr>
          <w:b w:val="0"/>
        </w:rPr>
        <w:t>__</w:t>
      </w:r>
      <w:r w:rsidR="00254666" w:rsidRPr="00254666">
        <w:rPr>
          <w:b w:val="0"/>
          <w:u w:val="single"/>
        </w:rPr>
        <w:t>22nd</w:t>
      </w:r>
      <w:r w:rsidR="00254666" w:rsidRPr="00F37199">
        <w:rPr>
          <w:b w:val="0"/>
        </w:rPr>
        <w:t>___ day of ___</w:t>
      </w:r>
      <w:r w:rsidR="00254666" w:rsidRPr="00254666">
        <w:rPr>
          <w:b w:val="0"/>
          <w:u w:val="single"/>
        </w:rPr>
        <w:t>April</w:t>
      </w:r>
      <w:r w:rsidR="00254666" w:rsidRPr="00F37199">
        <w:rPr>
          <w:b w:val="0"/>
        </w:rPr>
        <w:t>____, 20</w:t>
      </w:r>
      <w:r w:rsidR="00254666" w:rsidRPr="00254666">
        <w:rPr>
          <w:b w:val="0"/>
        </w:rPr>
        <w:t>24.</w:t>
      </w:r>
    </w:p>
    <w:p w14:paraId="0EEFD555" w14:textId="77777777" w:rsidR="00F37199" w:rsidRPr="00F37199" w:rsidRDefault="00F37199" w:rsidP="00F37199">
      <w:pPr>
        <w:jc w:val="both"/>
        <w:rPr>
          <w:sz w:val="22"/>
          <w:szCs w:val="22"/>
        </w:rPr>
      </w:pPr>
    </w:p>
    <w:p w14:paraId="21D7CBE3" w14:textId="77777777" w:rsidR="00F37199" w:rsidRPr="00F37199" w:rsidRDefault="00F37199" w:rsidP="00F37199">
      <w:pPr>
        <w:rPr>
          <w:b w:val="0"/>
          <w:sz w:val="72"/>
          <w:szCs w:val="72"/>
        </w:rPr>
      </w:pPr>
    </w:p>
    <w:p w14:paraId="6EB58B2B" w14:textId="77777777" w:rsidR="00F37199" w:rsidRPr="00F37199" w:rsidRDefault="00F37199" w:rsidP="00F37199">
      <w:pPr>
        <w:spacing w:after="658"/>
        <w:ind w:left="6030"/>
        <w:rPr>
          <w:color w:val="000000"/>
        </w:rPr>
      </w:pPr>
      <w:r w:rsidRPr="00F37199">
        <w:rPr>
          <w:color w:val="000000"/>
        </w:rPr>
        <w:t>BY THE MAYOR OF THE CITY OF NEWBERRY, FLORIDA</w:t>
      </w:r>
    </w:p>
    <w:p w14:paraId="45A8EA4E" w14:textId="77777777" w:rsidR="00F37199" w:rsidRPr="00F37199" w:rsidRDefault="00F37199" w:rsidP="00F37199">
      <w:pPr>
        <w:ind w:left="1022"/>
        <w:jc w:val="right"/>
        <w:rPr>
          <w:color w:val="000000"/>
        </w:rPr>
      </w:pPr>
      <w:r w:rsidRPr="00F37199">
        <w:rPr>
          <w:color w:val="000000"/>
        </w:rPr>
        <w:t>_____________________________</w:t>
      </w:r>
    </w:p>
    <w:p w14:paraId="7C318B92" w14:textId="77777777" w:rsidR="00F37199" w:rsidRPr="00F37199" w:rsidRDefault="00F37199" w:rsidP="00F37199">
      <w:pPr>
        <w:ind w:left="1022"/>
        <w:jc w:val="right"/>
        <w:rPr>
          <w:color w:val="000000"/>
        </w:rPr>
      </w:pPr>
      <w:r w:rsidRPr="00F37199">
        <w:rPr>
          <w:color w:val="000000"/>
        </w:rPr>
        <w:t>Honorable Jordan Marlowe, Mayor</w:t>
      </w:r>
    </w:p>
    <w:p w14:paraId="13C46D0F" w14:textId="77777777" w:rsidR="00F37199" w:rsidRPr="00F37199" w:rsidRDefault="00F37199" w:rsidP="00F37199">
      <w:pPr>
        <w:ind w:left="1022"/>
        <w:jc w:val="right"/>
        <w:rPr>
          <w:color w:val="000000"/>
        </w:rPr>
      </w:pPr>
    </w:p>
    <w:p w14:paraId="7198863A" w14:textId="77777777" w:rsidR="00F37199" w:rsidRPr="00F37199" w:rsidRDefault="00F37199" w:rsidP="00F37199">
      <w:pPr>
        <w:spacing w:before="360"/>
        <w:ind w:left="302"/>
        <w:rPr>
          <w:color w:val="000000"/>
        </w:rPr>
      </w:pPr>
      <w:r w:rsidRPr="00F37199">
        <w:rPr>
          <w:color w:val="000000"/>
        </w:rPr>
        <w:t>ATTEST, BY THE CLERK OF THE</w:t>
      </w:r>
    </w:p>
    <w:p w14:paraId="03625E9A" w14:textId="77777777" w:rsidR="00F37199" w:rsidRPr="00F37199" w:rsidRDefault="00F37199" w:rsidP="00F37199">
      <w:pPr>
        <w:ind w:left="302"/>
        <w:rPr>
          <w:color w:val="000000"/>
        </w:rPr>
      </w:pPr>
      <w:r w:rsidRPr="00F37199">
        <w:rPr>
          <w:color w:val="000000"/>
        </w:rPr>
        <w:t>CITY COMMISSION OF THE CITY OF</w:t>
      </w:r>
    </w:p>
    <w:p w14:paraId="6FD3F36A" w14:textId="77777777" w:rsidR="00F37199" w:rsidRPr="00F37199" w:rsidRDefault="00F37199" w:rsidP="00F37199">
      <w:pPr>
        <w:ind w:left="302"/>
        <w:rPr>
          <w:color w:val="000000"/>
        </w:rPr>
      </w:pPr>
      <w:r w:rsidRPr="00F37199">
        <w:rPr>
          <w:color w:val="000000"/>
        </w:rPr>
        <w:t>NEWBERRY, FLORIDA:</w:t>
      </w:r>
    </w:p>
    <w:p w14:paraId="312E0F90" w14:textId="77777777" w:rsidR="00F37199" w:rsidRPr="00F37199" w:rsidRDefault="00F37199" w:rsidP="00F37199">
      <w:pPr>
        <w:ind w:left="302"/>
        <w:rPr>
          <w:color w:val="000000"/>
        </w:rPr>
      </w:pPr>
    </w:p>
    <w:p w14:paraId="4F17CA13" w14:textId="77777777" w:rsidR="00F37199" w:rsidRPr="00F37199" w:rsidRDefault="00F37199" w:rsidP="00F37199">
      <w:pPr>
        <w:ind w:left="302"/>
        <w:rPr>
          <w:color w:val="000000"/>
        </w:rPr>
      </w:pPr>
      <w:r w:rsidRPr="00F37199">
        <w:rPr>
          <w:color w:val="000000"/>
        </w:rPr>
        <w:t>___________________________</w:t>
      </w:r>
    </w:p>
    <w:p w14:paraId="5EB00EAC" w14:textId="77777777" w:rsidR="00F37199" w:rsidRPr="00F37199" w:rsidRDefault="00F37199" w:rsidP="00F37199">
      <w:pPr>
        <w:ind w:left="302"/>
        <w:rPr>
          <w:color w:val="000000"/>
        </w:rPr>
      </w:pPr>
      <w:r w:rsidRPr="00F37199">
        <w:rPr>
          <w:color w:val="000000"/>
        </w:rPr>
        <w:t>Judy S. Rice, City Clerk</w:t>
      </w:r>
    </w:p>
    <w:p w14:paraId="232FB92C" w14:textId="77777777" w:rsidR="00F37199" w:rsidRPr="00F37199" w:rsidRDefault="00F37199" w:rsidP="00F37199">
      <w:pPr>
        <w:ind w:left="302"/>
        <w:rPr>
          <w:color w:val="000000"/>
        </w:rPr>
      </w:pPr>
    </w:p>
    <w:p w14:paraId="78DF9AE8" w14:textId="77777777" w:rsidR="00F37199" w:rsidRPr="00F37199" w:rsidRDefault="00F37199" w:rsidP="00F37199">
      <w:pPr>
        <w:ind w:left="302"/>
        <w:rPr>
          <w:color w:val="000000"/>
        </w:rPr>
      </w:pPr>
      <w:r w:rsidRPr="00F37199">
        <w:rPr>
          <w:color w:val="000000"/>
        </w:rPr>
        <w:t xml:space="preserve">APPROVED AS TO FORM AND </w:t>
      </w:r>
    </w:p>
    <w:p w14:paraId="3546B2E3" w14:textId="77777777" w:rsidR="00F37199" w:rsidRPr="00F37199" w:rsidRDefault="00F37199" w:rsidP="00F37199">
      <w:pPr>
        <w:ind w:left="302"/>
        <w:rPr>
          <w:color w:val="000000"/>
        </w:rPr>
      </w:pPr>
      <w:r w:rsidRPr="00F37199">
        <w:rPr>
          <w:color w:val="000000"/>
        </w:rPr>
        <w:t>LEGALITY:</w:t>
      </w:r>
    </w:p>
    <w:p w14:paraId="74498B00" w14:textId="77777777" w:rsidR="00F37199" w:rsidRPr="00F37199" w:rsidRDefault="00F37199" w:rsidP="00F37199">
      <w:pPr>
        <w:ind w:left="302"/>
        <w:rPr>
          <w:color w:val="000000"/>
        </w:rPr>
      </w:pPr>
    </w:p>
    <w:p w14:paraId="4466655A" w14:textId="77777777" w:rsidR="00F37199" w:rsidRPr="00F37199" w:rsidRDefault="00F37199" w:rsidP="00F37199">
      <w:pPr>
        <w:ind w:left="302"/>
        <w:rPr>
          <w:color w:val="000000"/>
        </w:rPr>
      </w:pPr>
      <w:r w:rsidRPr="00F37199">
        <w:rPr>
          <w:color w:val="000000"/>
        </w:rPr>
        <w:t>____________________________</w:t>
      </w:r>
    </w:p>
    <w:p w14:paraId="274B0C55" w14:textId="77777777" w:rsidR="00F37199" w:rsidRPr="00F37199" w:rsidRDefault="00F37199" w:rsidP="00F37199">
      <w:pPr>
        <w:ind w:left="302"/>
        <w:rPr>
          <w:color w:val="000000"/>
        </w:rPr>
      </w:pPr>
      <w:r w:rsidRPr="00F37199">
        <w:rPr>
          <w:color w:val="000000"/>
        </w:rPr>
        <w:t>City Attorney’s Office</w:t>
      </w:r>
    </w:p>
    <w:sectPr w:rsidR="00F37199" w:rsidRPr="00F37199" w:rsidSect="003C23A0">
      <w:footerReference w:type="default" r:id="rId7"/>
      <w:headerReference w:type="first" r:id="rId8"/>
      <w:footerReference w:type="first" r:id="rId9"/>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7691B" w14:textId="77777777" w:rsidR="009E7346" w:rsidRDefault="009E7346" w:rsidP="00046130">
      <w:r>
        <w:separator/>
      </w:r>
    </w:p>
  </w:endnote>
  <w:endnote w:type="continuationSeparator" w:id="0">
    <w:p w14:paraId="3BD78FFC" w14:textId="77777777" w:rsidR="009E7346" w:rsidRDefault="009E7346" w:rsidP="0004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GoudyOldStyle">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4F2B" w14:textId="544A99A9" w:rsidR="00C17826" w:rsidRPr="00C17826" w:rsidRDefault="003C23A0" w:rsidP="00F37199">
    <w:pPr>
      <w:widowControl/>
      <w:tabs>
        <w:tab w:val="right" w:pos="9090"/>
      </w:tabs>
      <w:autoSpaceDE w:val="0"/>
      <w:autoSpaceDN w:val="0"/>
      <w:adjustRightInd w:val="0"/>
      <w:rPr>
        <w:b w:val="0"/>
        <w:snapToGrid/>
        <w:sz w:val="20"/>
        <w:szCs w:val="20"/>
      </w:rPr>
    </w:pPr>
    <w:r w:rsidRPr="00F37199">
      <w:rPr>
        <w:b w:val="0"/>
        <w:noProof/>
        <w:snapToGrid/>
        <w:sz w:val="20"/>
        <w:szCs w:val="20"/>
      </w:rPr>
      <mc:AlternateContent>
        <mc:Choice Requires="wps">
          <w:drawing>
            <wp:anchor distT="4294967294" distB="4294967294" distL="114300" distR="114300" simplePos="0" relativeHeight="251667456" behindDoc="0" locked="0" layoutInCell="1" allowOverlap="1" wp14:anchorId="0F70142D" wp14:editId="305F54F2">
              <wp:simplePos x="0" y="0"/>
              <wp:positionH relativeFrom="column">
                <wp:posOffset>-9525</wp:posOffset>
              </wp:positionH>
              <wp:positionV relativeFrom="paragraph">
                <wp:posOffset>-3176</wp:posOffset>
              </wp:positionV>
              <wp:extent cx="5972175" cy="0"/>
              <wp:effectExtent l="0" t="0" r="0" b="0"/>
              <wp:wrapNone/>
              <wp:docPr id="169203494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4DDFA0B" id="_x0000_t32" coordsize="21600,21600" o:spt="32" o:oned="t" path="m,l21600,21600e" filled="f">
              <v:path arrowok="t" fillok="f" o:connecttype="none"/>
              <o:lock v:ext="edit" shapetype="t"/>
            </v:shapetype>
            <v:shape id="Straight Arrow Connector 2" o:spid="_x0000_s1026" type="#_x0000_t32" style="position:absolute;margin-left:-.75pt;margin-top:-.25pt;width:470.2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"/>
          </w:pict>
        </mc:Fallback>
      </mc:AlternateContent>
    </w:r>
    <w:r w:rsidR="00C17826" w:rsidRPr="00C17826">
      <w:rPr>
        <w:b w:val="0"/>
        <w:snapToGrid/>
        <w:sz w:val="20"/>
        <w:szCs w:val="20"/>
      </w:rPr>
      <w:t xml:space="preserve">City Commission First Reading </w:t>
    </w:r>
    <w:r w:rsidR="00F37199">
      <w:rPr>
        <w:b w:val="0"/>
        <w:snapToGrid/>
        <w:sz w:val="20"/>
        <w:szCs w:val="20"/>
      </w:rPr>
      <w:t>04/08/2024</w:t>
    </w:r>
    <w:r w:rsidR="00C17826" w:rsidRPr="00C17826">
      <w:rPr>
        <w:b w:val="0"/>
        <w:snapToGrid/>
        <w:sz w:val="20"/>
        <w:szCs w:val="20"/>
      </w:rPr>
      <w:tab/>
    </w:r>
    <w:r w:rsidR="00F37199" w:rsidRPr="00C17826">
      <w:rPr>
        <w:b w:val="0"/>
        <w:snapToGrid/>
        <w:sz w:val="20"/>
        <w:szCs w:val="20"/>
      </w:rPr>
      <w:t xml:space="preserve">Page </w:t>
    </w:r>
    <w:r w:rsidR="00F37199" w:rsidRPr="00C17826">
      <w:rPr>
        <w:b w:val="0"/>
        <w:snapToGrid/>
        <w:sz w:val="20"/>
        <w:szCs w:val="20"/>
      </w:rPr>
      <w:fldChar w:fldCharType="begin"/>
    </w:r>
    <w:r w:rsidR="00F37199" w:rsidRPr="00C17826">
      <w:rPr>
        <w:b w:val="0"/>
        <w:snapToGrid/>
        <w:sz w:val="20"/>
        <w:szCs w:val="20"/>
      </w:rPr>
      <w:instrText xml:space="preserve"> PAGE   \* MERGEFORMAT </w:instrText>
    </w:r>
    <w:r w:rsidR="00F37199" w:rsidRPr="00C17826">
      <w:rPr>
        <w:b w:val="0"/>
        <w:snapToGrid/>
        <w:sz w:val="20"/>
        <w:szCs w:val="20"/>
      </w:rPr>
      <w:fldChar w:fldCharType="separate"/>
    </w:r>
    <w:r w:rsidR="00F37199">
      <w:rPr>
        <w:b w:val="0"/>
        <w:snapToGrid/>
        <w:sz w:val="20"/>
        <w:szCs w:val="20"/>
      </w:rPr>
      <w:t>2</w:t>
    </w:r>
    <w:r w:rsidR="00F37199" w:rsidRPr="00C17826">
      <w:rPr>
        <w:b w:val="0"/>
        <w:snapToGrid/>
        <w:sz w:val="20"/>
        <w:szCs w:val="20"/>
      </w:rPr>
      <w:fldChar w:fldCharType="end"/>
    </w:r>
    <w:r w:rsidR="00F37199" w:rsidRPr="00C17826">
      <w:rPr>
        <w:b w:val="0"/>
        <w:snapToGrid/>
        <w:sz w:val="20"/>
        <w:szCs w:val="20"/>
      </w:rPr>
      <w:t xml:space="preserve"> of </w:t>
    </w:r>
    <w:r w:rsidR="00F37199" w:rsidRPr="00C17826">
      <w:rPr>
        <w:b w:val="0"/>
        <w:snapToGrid/>
        <w:sz w:val="20"/>
        <w:szCs w:val="20"/>
      </w:rPr>
      <w:fldChar w:fldCharType="begin"/>
    </w:r>
    <w:r w:rsidR="00F37199" w:rsidRPr="00C17826">
      <w:rPr>
        <w:b w:val="0"/>
        <w:snapToGrid/>
        <w:sz w:val="20"/>
        <w:szCs w:val="20"/>
      </w:rPr>
      <w:instrText xml:space="preserve"> NUMPAGES   \* MERGEFORMAT </w:instrText>
    </w:r>
    <w:r w:rsidR="00F37199" w:rsidRPr="00C17826">
      <w:rPr>
        <w:b w:val="0"/>
        <w:snapToGrid/>
        <w:sz w:val="20"/>
        <w:szCs w:val="20"/>
      </w:rPr>
      <w:fldChar w:fldCharType="separate"/>
    </w:r>
    <w:r w:rsidR="00F37199">
      <w:rPr>
        <w:b w:val="0"/>
        <w:snapToGrid/>
        <w:sz w:val="20"/>
        <w:szCs w:val="20"/>
      </w:rPr>
      <w:t>6</w:t>
    </w:r>
    <w:r w:rsidR="00F37199" w:rsidRPr="00C17826">
      <w:rPr>
        <w:b w:val="0"/>
        <w:snapToGrid/>
        <w:sz w:val="20"/>
        <w:szCs w:val="20"/>
      </w:rPr>
      <w:fldChar w:fldCharType="end"/>
    </w:r>
    <w:r w:rsidR="00F37199" w:rsidRPr="00C17826">
      <w:rPr>
        <w:b w:val="0"/>
        <w:snapToGrid/>
        <w:sz w:val="20"/>
        <w:szCs w:val="20"/>
      </w:rPr>
      <w:t xml:space="preserve"> </w:t>
    </w:r>
    <w:proofErr w:type="gramStart"/>
    <w:r w:rsidR="00F37199" w:rsidRPr="00C17826">
      <w:rPr>
        <w:b w:val="0"/>
        <w:snapToGrid/>
        <w:sz w:val="20"/>
        <w:szCs w:val="20"/>
      </w:rPr>
      <w:t>Pages</w:t>
    </w:r>
    <w:proofErr w:type="gramEnd"/>
  </w:p>
  <w:p w14:paraId="7D9846B8" w14:textId="2CFE35C5" w:rsidR="00C17826" w:rsidRDefault="00C17826" w:rsidP="00C17826">
    <w:pPr>
      <w:widowControl/>
      <w:tabs>
        <w:tab w:val="right" w:pos="9090"/>
      </w:tabs>
      <w:autoSpaceDE w:val="0"/>
      <w:autoSpaceDN w:val="0"/>
      <w:adjustRightInd w:val="0"/>
    </w:pPr>
    <w:r w:rsidRPr="00C17826">
      <w:rPr>
        <w:b w:val="0"/>
        <w:snapToGrid/>
        <w:sz w:val="20"/>
        <w:szCs w:val="20"/>
      </w:rPr>
      <w:t xml:space="preserve">City Commission Second Reading/Enactment </w:t>
    </w:r>
    <w:r w:rsidR="00F37199">
      <w:rPr>
        <w:b w:val="0"/>
        <w:snapToGrid/>
        <w:sz w:val="20"/>
        <w:szCs w:val="20"/>
      </w:rPr>
      <w:t>04/22/2024</w:t>
    </w:r>
    <w:r w:rsidRPr="00C17826">
      <w:rPr>
        <w:b w:val="0"/>
        <w:snapToGrid/>
        <w:sz w:val="20"/>
        <w:szCs w:val="20"/>
      </w:rPr>
      <w:tab/>
    </w:r>
    <w:r w:rsidR="00F37199" w:rsidRPr="00C17826">
      <w:rPr>
        <w:b w:val="0"/>
        <w:snapToGrid/>
        <w:sz w:val="20"/>
        <w:szCs w:val="20"/>
      </w:rPr>
      <w:t>Ordinance 202</w:t>
    </w:r>
    <w:r w:rsidR="00F37199">
      <w:rPr>
        <w:b w:val="0"/>
        <w:snapToGrid/>
        <w:sz w:val="20"/>
        <w:szCs w:val="20"/>
      </w:rPr>
      <w:t>4-1</w:t>
    </w:r>
    <w:r w:rsidR="00F37199" w:rsidRPr="00C17826">
      <w:rPr>
        <w:b w:val="0"/>
        <w:snapToGrid/>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CA24" w14:textId="5ED48C7F" w:rsidR="00F37199" w:rsidRPr="00F37199" w:rsidRDefault="003C23A0" w:rsidP="00F37199">
    <w:pPr>
      <w:widowControl/>
      <w:tabs>
        <w:tab w:val="right" w:pos="9090"/>
      </w:tabs>
      <w:autoSpaceDE w:val="0"/>
      <w:autoSpaceDN w:val="0"/>
      <w:adjustRightInd w:val="0"/>
      <w:rPr>
        <w:b w:val="0"/>
        <w:snapToGrid/>
        <w:sz w:val="20"/>
        <w:szCs w:val="20"/>
      </w:rPr>
    </w:pPr>
    <w:r w:rsidRPr="00F37199">
      <w:rPr>
        <w:b w:val="0"/>
        <w:noProof/>
        <w:snapToGrid/>
        <w:sz w:val="20"/>
        <w:szCs w:val="20"/>
      </w:rPr>
      <mc:AlternateContent>
        <mc:Choice Requires="wps">
          <w:drawing>
            <wp:anchor distT="4294967294" distB="4294967294" distL="114300" distR="114300" simplePos="0" relativeHeight="251669504" behindDoc="0" locked="0" layoutInCell="1" allowOverlap="1" wp14:anchorId="19F3DC4A" wp14:editId="5FD3E3BC">
              <wp:simplePos x="0" y="0"/>
              <wp:positionH relativeFrom="column">
                <wp:posOffset>-9525</wp:posOffset>
              </wp:positionH>
              <wp:positionV relativeFrom="paragraph">
                <wp:posOffset>-3176</wp:posOffset>
              </wp:positionV>
              <wp:extent cx="5972175" cy="0"/>
              <wp:effectExtent l="0" t="0" r="0" b="0"/>
              <wp:wrapNone/>
              <wp:docPr id="95154280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F739405" id="_x0000_t32" coordsize="21600,21600" o:spt="32" o:oned="t" path="m,l21600,21600e" filled="f">
              <v:path arrowok="t" fillok="f" o:connecttype="none"/>
              <o:lock v:ext="edit" shapetype="t"/>
            </v:shapetype>
            <v:shape id="Straight Arrow Connector 1" o:spid="_x0000_s1026" type="#_x0000_t32" style="position:absolute;margin-left:-.75pt;margin-top:-.25pt;width:470.2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"/>
          </w:pict>
        </mc:Fallback>
      </mc:AlternateContent>
    </w:r>
    <w:r w:rsidR="00F37199" w:rsidRPr="00F37199">
      <w:rPr>
        <w:b w:val="0"/>
        <w:snapToGrid/>
        <w:sz w:val="20"/>
        <w:szCs w:val="20"/>
      </w:rPr>
      <w:t>City Commission First Reading 04/08/2024</w:t>
    </w:r>
    <w:r w:rsidR="00F37199" w:rsidRPr="00F37199">
      <w:rPr>
        <w:b w:val="0"/>
        <w:snapToGrid/>
        <w:sz w:val="20"/>
        <w:szCs w:val="20"/>
      </w:rPr>
      <w:tab/>
      <w:t xml:space="preserve">Page </w:t>
    </w:r>
    <w:r w:rsidR="00F37199" w:rsidRPr="00F37199">
      <w:rPr>
        <w:b w:val="0"/>
        <w:snapToGrid/>
        <w:sz w:val="20"/>
        <w:szCs w:val="20"/>
      </w:rPr>
      <w:fldChar w:fldCharType="begin"/>
    </w:r>
    <w:r w:rsidR="00F37199" w:rsidRPr="00F37199">
      <w:rPr>
        <w:b w:val="0"/>
        <w:snapToGrid/>
        <w:sz w:val="20"/>
        <w:szCs w:val="20"/>
      </w:rPr>
      <w:instrText xml:space="preserve"> PAGE   \* MERGEFORMAT </w:instrText>
    </w:r>
    <w:r w:rsidR="00F37199" w:rsidRPr="00F37199">
      <w:rPr>
        <w:b w:val="0"/>
        <w:snapToGrid/>
        <w:sz w:val="20"/>
        <w:szCs w:val="20"/>
      </w:rPr>
      <w:fldChar w:fldCharType="separate"/>
    </w:r>
    <w:r w:rsidR="00F37199" w:rsidRPr="00F37199">
      <w:rPr>
        <w:b w:val="0"/>
        <w:sz w:val="20"/>
        <w:szCs w:val="20"/>
      </w:rPr>
      <w:t>2</w:t>
    </w:r>
    <w:r w:rsidR="00F37199" w:rsidRPr="00F37199">
      <w:rPr>
        <w:b w:val="0"/>
        <w:snapToGrid/>
        <w:sz w:val="20"/>
        <w:szCs w:val="20"/>
      </w:rPr>
      <w:fldChar w:fldCharType="end"/>
    </w:r>
    <w:r w:rsidR="00F37199" w:rsidRPr="00F37199">
      <w:rPr>
        <w:b w:val="0"/>
        <w:snapToGrid/>
        <w:sz w:val="20"/>
        <w:szCs w:val="20"/>
      </w:rPr>
      <w:t xml:space="preserve"> of </w:t>
    </w:r>
    <w:r w:rsidR="00F37199" w:rsidRPr="00F37199">
      <w:rPr>
        <w:b w:val="0"/>
        <w:snapToGrid/>
        <w:sz w:val="20"/>
        <w:szCs w:val="20"/>
      </w:rPr>
      <w:fldChar w:fldCharType="begin"/>
    </w:r>
    <w:r w:rsidR="00F37199" w:rsidRPr="00F37199">
      <w:rPr>
        <w:b w:val="0"/>
        <w:snapToGrid/>
        <w:sz w:val="20"/>
        <w:szCs w:val="20"/>
      </w:rPr>
      <w:instrText xml:space="preserve"> NUMPAGES   \* MERGEFORMAT </w:instrText>
    </w:r>
    <w:r w:rsidR="00F37199" w:rsidRPr="00F37199">
      <w:rPr>
        <w:b w:val="0"/>
        <w:snapToGrid/>
        <w:sz w:val="20"/>
        <w:szCs w:val="20"/>
      </w:rPr>
      <w:fldChar w:fldCharType="separate"/>
    </w:r>
    <w:r w:rsidR="00F37199" w:rsidRPr="00F37199">
      <w:rPr>
        <w:b w:val="0"/>
        <w:sz w:val="20"/>
        <w:szCs w:val="20"/>
      </w:rPr>
      <w:t>6</w:t>
    </w:r>
    <w:r w:rsidR="00F37199" w:rsidRPr="00F37199">
      <w:rPr>
        <w:b w:val="0"/>
        <w:snapToGrid/>
        <w:sz w:val="20"/>
        <w:szCs w:val="20"/>
      </w:rPr>
      <w:fldChar w:fldCharType="end"/>
    </w:r>
    <w:r w:rsidR="00F37199" w:rsidRPr="00F37199">
      <w:rPr>
        <w:b w:val="0"/>
        <w:snapToGrid/>
        <w:sz w:val="20"/>
        <w:szCs w:val="20"/>
      </w:rPr>
      <w:t xml:space="preserve"> </w:t>
    </w:r>
    <w:proofErr w:type="gramStart"/>
    <w:r w:rsidR="00F37199" w:rsidRPr="00F37199">
      <w:rPr>
        <w:b w:val="0"/>
        <w:snapToGrid/>
        <w:sz w:val="20"/>
        <w:szCs w:val="20"/>
      </w:rPr>
      <w:t>Pages</w:t>
    </w:r>
    <w:proofErr w:type="gramEnd"/>
  </w:p>
  <w:p w14:paraId="0B9596F5" w14:textId="77777777" w:rsidR="00F37199" w:rsidRPr="00F37199" w:rsidRDefault="00F37199" w:rsidP="00F37199">
    <w:pPr>
      <w:widowControl/>
      <w:tabs>
        <w:tab w:val="right" w:pos="9090"/>
      </w:tabs>
      <w:autoSpaceDE w:val="0"/>
      <w:autoSpaceDN w:val="0"/>
      <w:adjustRightInd w:val="0"/>
      <w:rPr>
        <w:sz w:val="20"/>
        <w:szCs w:val="20"/>
      </w:rPr>
    </w:pPr>
    <w:r w:rsidRPr="00F37199">
      <w:rPr>
        <w:b w:val="0"/>
        <w:snapToGrid/>
        <w:sz w:val="20"/>
        <w:szCs w:val="20"/>
      </w:rPr>
      <w:t>City Commission Second Reading/Enactment 04/22/2024</w:t>
    </w:r>
    <w:r w:rsidRPr="00F37199">
      <w:rPr>
        <w:b w:val="0"/>
        <w:snapToGrid/>
        <w:sz w:val="20"/>
        <w:szCs w:val="20"/>
      </w:rPr>
      <w:tab/>
      <w:t>Ordinance 2024-13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A72A" w14:textId="77777777" w:rsidR="009E7346" w:rsidRDefault="009E7346" w:rsidP="00046130">
      <w:r>
        <w:separator/>
      </w:r>
    </w:p>
  </w:footnote>
  <w:footnote w:type="continuationSeparator" w:id="0">
    <w:p w14:paraId="4E54BC2C" w14:textId="77777777" w:rsidR="009E7346" w:rsidRDefault="009E7346" w:rsidP="00046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F66C" w14:textId="77777777" w:rsidR="00F37199" w:rsidRPr="0068571B" w:rsidRDefault="00F37199" w:rsidP="00F37199">
    <w:pPr>
      <w:ind w:left="1800"/>
      <w:jc w:val="center"/>
      <w:rPr>
        <w:rFonts w:ascii="GoudyOldStyle" w:hAnsi="GoudyOldStyle" w:cs="GoudyOldStyle"/>
        <w:b w:val="0"/>
        <w:color w:val="1F497D"/>
        <w:sz w:val="40"/>
        <w:szCs w:val="40"/>
      </w:rPr>
    </w:pPr>
    <w:r w:rsidRPr="0068571B">
      <w:rPr>
        <w:noProof/>
      </w:rPr>
      <w:drawing>
        <wp:anchor distT="0" distB="0" distL="114300" distR="114300" simplePos="0" relativeHeight="251660288" behindDoc="1" locked="0" layoutInCell="1" allowOverlap="1" wp14:anchorId="18F80791" wp14:editId="7E470C7B">
          <wp:simplePos x="0" y="0"/>
          <wp:positionH relativeFrom="column">
            <wp:posOffset>1016000</wp:posOffset>
          </wp:positionH>
          <wp:positionV relativeFrom="paragraph">
            <wp:posOffset>44450</wp:posOffset>
          </wp:positionV>
          <wp:extent cx="721360" cy="690880"/>
          <wp:effectExtent l="0" t="0" r="0" b="0"/>
          <wp:wrapTight wrapText="bothSides">
            <wp:wrapPolygon edited="0">
              <wp:start x="0" y="0"/>
              <wp:lineTo x="0" y="20846"/>
              <wp:lineTo x="21106" y="20846"/>
              <wp:lineTo x="21106" y="0"/>
              <wp:lineTo x="0" y="0"/>
            </wp:wrapPolygon>
          </wp:wrapTight>
          <wp:docPr id="383823222" name="Picture 383823222" descr="Description: colored city of newber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ored city of newber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71B">
      <w:rPr>
        <w:rFonts w:ascii="GoudyOldStyle" w:hAnsi="GoudyOldStyle" w:cs="GoudyOldStyle"/>
        <w:b w:val="0"/>
        <w:color w:val="1F497D"/>
        <w:sz w:val="66"/>
        <w:szCs w:val="66"/>
      </w:rPr>
      <w:t>C</w:t>
    </w:r>
    <w:r w:rsidRPr="0068571B">
      <w:rPr>
        <w:rFonts w:ascii="GoudyOldStyle" w:hAnsi="GoudyOldStyle" w:cs="GoudyOldStyle"/>
        <w:b w:val="0"/>
        <w:color w:val="1F497D"/>
        <w:sz w:val="48"/>
        <w:szCs w:val="48"/>
      </w:rPr>
      <w:t xml:space="preserve">ITY OF </w:t>
    </w:r>
    <w:r w:rsidRPr="0068571B">
      <w:rPr>
        <w:rFonts w:ascii="GoudyOldStyle" w:hAnsi="GoudyOldStyle" w:cs="GoudyOldStyle"/>
        <w:b w:val="0"/>
        <w:color w:val="1F497D"/>
        <w:sz w:val="66"/>
        <w:szCs w:val="66"/>
      </w:rPr>
      <w:t>N</w:t>
    </w:r>
    <w:r w:rsidRPr="0068571B">
      <w:rPr>
        <w:rFonts w:ascii="GoudyOldStyle" w:hAnsi="GoudyOldStyle" w:cs="GoudyOldStyle"/>
        <w:b w:val="0"/>
        <w:color w:val="1F497D"/>
        <w:sz w:val="48"/>
        <w:szCs w:val="48"/>
      </w:rPr>
      <w:t>EWBERRY</w:t>
    </w:r>
  </w:p>
  <w:p w14:paraId="1C44DDA7" w14:textId="2A791D74" w:rsidR="00F37199" w:rsidRDefault="003C23A0" w:rsidP="003C23A0">
    <w:r>
      <w:rPr>
        <w:noProof/>
      </w:rPr>
      <mc:AlternateContent>
        <mc:Choice Requires="wps">
          <w:drawing>
            <wp:anchor distT="0" distB="0" distL="114300" distR="114300" simplePos="0" relativeHeight="251664384" behindDoc="0" locked="0" layoutInCell="1" allowOverlap="1" wp14:anchorId="609AD434" wp14:editId="62EFF439">
              <wp:simplePos x="0" y="0"/>
              <wp:positionH relativeFrom="margin">
                <wp:posOffset>2038350</wp:posOffset>
              </wp:positionH>
              <wp:positionV relativeFrom="paragraph">
                <wp:posOffset>36195</wp:posOffset>
              </wp:positionV>
              <wp:extent cx="3038475" cy="0"/>
              <wp:effectExtent l="9525" t="13335" r="9525" b="15240"/>
              <wp:wrapNone/>
              <wp:docPr id="143467746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0"/>
                      </a:xfrm>
                      <a:prstGeom prst="line">
                        <a:avLst/>
                      </a:prstGeom>
                      <a:noFill/>
                      <a:ln w="1854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7CB0A" id="Line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0.5pt,2.85pt" to="399.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" strokecolor="#020000" strokeweight="1.46pt">
              <w10:wrap anchorx="margin"/>
            </v:line>
          </w:pict>
        </mc:Fallback>
      </mc:AlternateContent>
    </w:r>
    <w:r>
      <w:rPr>
        <w:noProof/>
      </w:rPr>
      <mc:AlternateContent>
        <mc:Choice Requires="wps">
          <w:drawing>
            <wp:anchor distT="0" distB="0" distL="114300" distR="114300" simplePos="0" relativeHeight="251663360" behindDoc="0" locked="0" layoutInCell="0" allowOverlap="1" wp14:anchorId="2ECBAE0D" wp14:editId="56D403EA">
              <wp:simplePos x="0" y="0"/>
              <wp:positionH relativeFrom="margin">
                <wp:posOffset>0</wp:posOffset>
              </wp:positionH>
              <wp:positionV relativeFrom="paragraph">
                <wp:posOffset>0</wp:posOffset>
              </wp:positionV>
              <wp:extent cx="0" cy="0"/>
              <wp:effectExtent l="9525" t="15240" r="9525" b="13335"/>
              <wp:wrapNone/>
              <wp:docPr id="11152613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C8C1D" id="Line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p>
  <w:p w14:paraId="47C76F0F" w14:textId="77777777" w:rsidR="00F37199" w:rsidRDefault="00F37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7"/>
    <o:shapelayout v:ext="edit">
      <o:rules v:ext="edit">
        <o:r id="V:Rule1" type="connector" idref="#Straight Arrow Connector 1"/>
        <o:r id="V:Rule2" type="connector" idref="#_x0000_s2056"/>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30"/>
    <w:rsid w:val="00031D92"/>
    <w:rsid w:val="00046130"/>
    <w:rsid w:val="000923E6"/>
    <w:rsid w:val="00123BD3"/>
    <w:rsid w:val="001D7C1B"/>
    <w:rsid w:val="00254666"/>
    <w:rsid w:val="002D17B8"/>
    <w:rsid w:val="0034532E"/>
    <w:rsid w:val="003C23A0"/>
    <w:rsid w:val="00465387"/>
    <w:rsid w:val="004F66C1"/>
    <w:rsid w:val="005620CA"/>
    <w:rsid w:val="00681255"/>
    <w:rsid w:val="0068571B"/>
    <w:rsid w:val="00827E7B"/>
    <w:rsid w:val="0084308D"/>
    <w:rsid w:val="00846B8B"/>
    <w:rsid w:val="008555F2"/>
    <w:rsid w:val="008F5896"/>
    <w:rsid w:val="00993854"/>
    <w:rsid w:val="009E7346"/>
    <w:rsid w:val="00A51022"/>
    <w:rsid w:val="00C17826"/>
    <w:rsid w:val="00C77E51"/>
    <w:rsid w:val="00CD0F87"/>
    <w:rsid w:val="00DE094D"/>
    <w:rsid w:val="00F01E32"/>
    <w:rsid w:val="00F37199"/>
    <w:rsid w:val="00F6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A0779C5"/>
  <w15:docId w15:val="{336237FB-6222-4BD7-B413-316E038C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199"/>
    <w:pPr>
      <w:widowControl w:val="0"/>
      <w:spacing w:after="0" w:line="240" w:lineRule="auto"/>
    </w:pPr>
    <w:rPr>
      <w:rFonts w:ascii="Times New Roman" w:eastAsia="Times New Roman" w:hAnsi="Times New Roman" w:cs="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130"/>
    <w:pPr>
      <w:tabs>
        <w:tab w:val="center" w:pos="4680"/>
        <w:tab w:val="right" w:pos="9360"/>
      </w:tabs>
    </w:pPr>
  </w:style>
  <w:style w:type="character" w:customStyle="1" w:styleId="HeaderChar">
    <w:name w:val="Header Char"/>
    <w:basedOn w:val="DefaultParagraphFont"/>
    <w:link w:val="Header"/>
    <w:uiPriority w:val="99"/>
    <w:rsid w:val="00046130"/>
    <w:rPr>
      <w:rFonts w:ascii="Times New Roman" w:eastAsia="Times New Roman" w:hAnsi="Times New Roman" w:cs="Times New Roman"/>
      <w:b/>
      <w:snapToGrid w:val="0"/>
    </w:rPr>
  </w:style>
  <w:style w:type="paragraph" w:styleId="Footer">
    <w:name w:val="footer"/>
    <w:basedOn w:val="Normal"/>
    <w:link w:val="FooterChar"/>
    <w:uiPriority w:val="99"/>
    <w:unhideWhenUsed/>
    <w:rsid w:val="00046130"/>
    <w:pPr>
      <w:tabs>
        <w:tab w:val="center" w:pos="4680"/>
        <w:tab w:val="right" w:pos="9360"/>
      </w:tabs>
    </w:pPr>
  </w:style>
  <w:style w:type="character" w:customStyle="1" w:styleId="FooterChar">
    <w:name w:val="Footer Char"/>
    <w:basedOn w:val="DefaultParagraphFont"/>
    <w:link w:val="Footer"/>
    <w:uiPriority w:val="99"/>
    <w:rsid w:val="00046130"/>
    <w:rPr>
      <w:rFonts w:ascii="Times New Roman" w:eastAsia="Times New Roman" w:hAnsi="Times New Roman" w:cs="Times New Roman"/>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993B5-59D0-4D6B-88FB-138F5DDC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Sondra Randon</dc:creator>
  <cp:lastModifiedBy>Jeannene Mironack</cp:lastModifiedBy>
  <cp:revision>3</cp:revision>
  <cp:lastPrinted>2011-11-14T20:44:00Z</cp:lastPrinted>
  <dcterms:created xsi:type="dcterms:W3CDTF">2024-04-03T15:55:00Z</dcterms:created>
  <dcterms:modified xsi:type="dcterms:W3CDTF">2024-04-03T15:57:00Z</dcterms:modified>
</cp:coreProperties>
</file>