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BDE2C" w14:textId="7B83C7C0" w:rsidR="00316CE6" w:rsidRPr="00BE5AFE" w:rsidRDefault="00316CE6" w:rsidP="00316CE6">
      <w:pPr>
        <w:jc w:val="center"/>
        <w:rPr>
          <w:b/>
          <w:bCs/>
          <w:sz w:val="24"/>
          <w:szCs w:val="24"/>
        </w:rPr>
      </w:pPr>
      <w:bookmarkStart w:id="0" w:name="_Hlk86394174"/>
      <w:r w:rsidRPr="00BE5AFE">
        <w:rPr>
          <w:b/>
          <w:bCs/>
          <w:sz w:val="24"/>
          <w:szCs w:val="24"/>
        </w:rPr>
        <w:t xml:space="preserve">ORDINANCE NO. </w:t>
      </w:r>
      <w:r w:rsidR="0061556F" w:rsidRPr="00BE5AFE">
        <w:rPr>
          <w:b/>
          <w:bCs/>
          <w:sz w:val="24"/>
          <w:szCs w:val="24"/>
        </w:rPr>
        <w:t>20</w:t>
      </w:r>
      <w:r w:rsidR="00E30B19" w:rsidRPr="00BE5AFE">
        <w:rPr>
          <w:b/>
          <w:bCs/>
          <w:sz w:val="24"/>
          <w:szCs w:val="24"/>
        </w:rPr>
        <w:t>2</w:t>
      </w:r>
      <w:r w:rsidR="005B46D8">
        <w:rPr>
          <w:b/>
          <w:bCs/>
          <w:sz w:val="24"/>
          <w:szCs w:val="24"/>
        </w:rPr>
        <w:t>4</w:t>
      </w:r>
      <w:r w:rsidR="00E30B19" w:rsidRPr="00BE5AFE">
        <w:rPr>
          <w:b/>
          <w:bCs/>
          <w:sz w:val="24"/>
          <w:szCs w:val="24"/>
        </w:rPr>
        <w:t>-</w:t>
      </w:r>
      <w:r w:rsidR="005B46D8">
        <w:rPr>
          <w:b/>
          <w:bCs/>
          <w:sz w:val="24"/>
          <w:szCs w:val="24"/>
        </w:rPr>
        <w:t>1</w:t>
      </w:r>
      <w:r w:rsidR="00211A2F">
        <w:rPr>
          <w:b/>
          <w:bCs/>
          <w:sz w:val="24"/>
          <w:szCs w:val="24"/>
        </w:rPr>
        <w:t>4</w:t>
      </w:r>
    </w:p>
    <w:p w14:paraId="2CB7ACC5" w14:textId="19637625" w:rsidR="00100545" w:rsidRPr="0007653B" w:rsidRDefault="00BE5AFE" w:rsidP="00316CE6">
      <w:pPr>
        <w:jc w:val="center"/>
        <w:rPr>
          <w:sz w:val="24"/>
          <w:szCs w:val="24"/>
        </w:rPr>
      </w:pPr>
      <w:r w:rsidRPr="0007653B">
        <w:rPr>
          <w:sz w:val="24"/>
          <w:szCs w:val="24"/>
        </w:rPr>
        <w:t>LDR</w:t>
      </w:r>
      <w:r w:rsidR="00100545" w:rsidRPr="0007653B">
        <w:rPr>
          <w:sz w:val="24"/>
          <w:szCs w:val="24"/>
        </w:rPr>
        <w:t xml:space="preserve"> </w:t>
      </w:r>
      <w:r w:rsidR="00E30B19" w:rsidRPr="0007653B">
        <w:rPr>
          <w:sz w:val="24"/>
          <w:szCs w:val="24"/>
        </w:rPr>
        <w:t>2</w:t>
      </w:r>
      <w:r w:rsidR="00211A2F" w:rsidRPr="0007653B">
        <w:rPr>
          <w:sz w:val="24"/>
          <w:szCs w:val="24"/>
        </w:rPr>
        <w:t>3</w:t>
      </w:r>
      <w:r w:rsidR="00E30B19" w:rsidRPr="0007653B">
        <w:rPr>
          <w:sz w:val="24"/>
          <w:szCs w:val="24"/>
        </w:rPr>
        <w:t>-</w:t>
      </w:r>
      <w:bookmarkEnd w:id="0"/>
      <w:r w:rsidR="00211A2F" w:rsidRPr="0007653B">
        <w:rPr>
          <w:sz w:val="24"/>
          <w:szCs w:val="24"/>
        </w:rPr>
        <w:t>0</w:t>
      </w:r>
      <w:r w:rsidR="00E57802" w:rsidRPr="0007653B">
        <w:rPr>
          <w:sz w:val="24"/>
          <w:szCs w:val="24"/>
        </w:rPr>
        <w:t>6</w:t>
      </w:r>
    </w:p>
    <w:p w14:paraId="02624F47" w14:textId="77777777" w:rsidR="00BE5AFE" w:rsidRPr="00BE5AFE" w:rsidRDefault="00BE5AFE" w:rsidP="00BE5AFE">
      <w:pPr>
        <w:rPr>
          <w:b/>
          <w:sz w:val="24"/>
          <w:szCs w:val="24"/>
        </w:rPr>
      </w:pPr>
    </w:p>
    <w:p w14:paraId="108812BD" w14:textId="4D861131" w:rsidR="00BE5AFE" w:rsidRPr="00BE5AFE" w:rsidRDefault="00BE5AFE" w:rsidP="00BE5AFE">
      <w:pPr>
        <w:spacing w:after="240"/>
        <w:ind w:left="720" w:right="720"/>
        <w:jc w:val="both"/>
        <w:rPr>
          <w:b/>
          <w:sz w:val="24"/>
          <w:szCs w:val="24"/>
        </w:rPr>
      </w:pPr>
      <w:r w:rsidRPr="00BE5AFE">
        <w:rPr>
          <w:b/>
          <w:sz w:val="24"/>
          <w:szCs w:val="24"/>
        </w:rPr>
        <w:t xml:space="preserve">AN ORDINANCE OF THE CITY OF NEWBERRY, FLORIDA, RELATING TO THE REZONING OF APPROXIMATELY </w:t>
      </w:r>
      <w:r w:rsidR="003154E5">
        <w:rPr>
          <w:b/>
          <w:sz w:val="24"/>
          <w:szCs w:val="24"/>
        </w:rPr>
        <w:t>1</w:t>
      </w:r>
      <w:r w:rsidR="00C1387C">
        <w:rPr>
          <w:b/>
          <w:sz w:val="24"/>
          <w:szCs w:val="24"/>
        </w:rPr>
        <w:t>,</w:t>
      </w:r>
      <w:r w:rsidR="003154E5">
        <w:rPr>
          <w:b/>
          <w:sz w:val="24"/>
          <w:szCs w:val="24"/>
        </w:rPr>
        <w:t>2</w:t>
      </w:r>
      <w:r w:rsidR="00211A2F">
        <w:rPr>
          <w:b/>
          <w:sz w:val="24"/>
          <w:szCs w:val="24"/>
        </w:rPr>
        <w:t>9</w:t>
      </w:r>
      <w:r w:rsidR="00FF4B8F">
        <w:rPr>
          <w:b/>
          <w:sz w:val="24"/>
          <w:szCs w:val="24"/>
        </w:rPr>
        <w:t>3</w:t>
      </w:r>
      <w:r w:rsidRPr="00BE5AFE">
        <w:rPr>
          <w:b/>
          <w:sz w:val="24"/>
          <w:szCs w:val="24"/>
        </w:rPr>
        <w:t xml:space="preserve"> CONTIGUOUS ACRES, MORE OR LESS, PURSUANT TO A</w:t>
      </w:r>
      <w:r w:rsidR="003154E5">
        <w:rPr>
          <w:b/>
          <w:sz w:val="24"/>
          <w:szCs w:val="24"/>
        </w:rPr>
        <w:t xml:space="preserve"> PETITION</w:t>
      </w:r>
      <w:r w:rsidRPr="00BE5AFE">
        <w:rPr>
          <w:b/>
          <w:sz w:val="24"/>
          <w:szCs w:val="24"/>
        </w:rPr>
        <w:t xml:space="preserve"> BY THE PROPERTY OWNER OF SAID ACREAGE; AMENDING THE OFFICIAL ZONING ATLAS OF THE CITY OF NEWBERRY LAND DEVELOPMENT REGULATIONS; PROVIDING FOR REZONING FROM THE AGRICULTURAL (A) ZONING DISTRICT TO THE PLANNED DEVELOPMENT (PD) ZONING DISTRICT ON CERTAIN LANDS WITHIN THE CORPORATE LIMITS OF THE CITY OF NEWBERRY, FLORIDA </w:t>
      </w:r>
      <w:r w:rsidR="001A3A37">
        <w:rPr>
          <w:b/>
          <w:sz w:val="24"/>
          <w:szCs w:val="24"/>
        </w:rPr>
        <w:t xml:space="preserve">MORE PARTICULARLY </w:t>
      </w:r>
      <w:r w:rsidR="00211A2F">
        <w:rPr>
          <w:b/>
          <w:sz w:val="24"/>
          <w:szCs w:val="24"/>
        </w:rPr>
        <w:t>DESCRIBED IN EXHIBIT A</w:t>
      </w:r>
      <w:r w:rsidRPr="00BE5AFE">
        <w:rPr>
          <w:b/>
          <w:sz w:val="24"/>
          <w:szCs w:val="24"/>
        </w:rPr>
        <w:t>; PROVIDING SEVERABILITY; REPEALING ALL ORDINANCES IN CONFLICT; AND PROVIDING AN EFFECTIVE DATE</w:t>
      </w:r>
    </w:p>
    <w:p w14:paraId="4F439C20" w14:textId="22F56BDC" w:rsidR="00BE5AFE" w:rsidRPr="00BE5AFE" w:rsidRDefault="008C2D5A" w:rsidP="00C96A21">
      <w:pPr>
        <w:spacing w:after="240"/>
        <w:ind w:firstLine="720"/>
        <w:jc w:val="both"/>
        <w:rPr>
          <w:b/>
          <w:sz w:val="24"/>
          <w:szCs w:val="24"/>
        </w:rPr>
      </w:pPr>
      <w:r w:rsidRPr="008C2D5A">
        <w:rPr>
          <w:b/>
          <w:sz w:val="24"/>
          <w:szCs w:val="24"/>
        </w:rPr>
        <w:t>WHEREAS,</w:t>
      </w:r>
      <w:r w:rsidR="00BE5AFE" w:rsidRPr="00BE5AFE">
        <w:rPr>
          <w:sz w:val="24"/>
          <w:szCs w:val="24"/>
        </w:rPr>
        <w:t xml:space="preserve"> Section 166.021, Florida Statutes, as amended, empowers the City Commission of the City of Newberry, Florida, hereinafter referred to as the City Commission, to prepare, adopt and enforce land development </w:t>
      </w:r>
      <w:proofErr w:type="gramStart"/>
      <w:r w:rsidR="00BE5AFE" w:rsidRPr="00BE5AFE">
        <w:rPr>
          <w:sz w:val="24"/>
          <w:szCs w:val="24"/>
        </w:rPr>
        <w:t>regulations;</w:t>
      </w:r>
      <w:proofErr w:type="gramEnd"/>
      <w:r w:rsidR="00BE5AFE" w:rsidRPr="00BE5AFE">
        <w:rPr>
          <w:sz w:val="24"/>
          <w:szCs w:val="24"/>
        </w:rPr>
        <w:t xml:space="preserve"> </w:t>
      </w:r>
    </w:p>
    <w:p w14:paraId="6FC962B2" w14:textId="3AD37092" w:rsidR="00BE5AFE" w:rsidRPr="00BE5AFE" w:rsidRDefault="008C2D5A" w:rsidP="00BE5AFE">
      <w:pPr>
        <w:spacing w:after="240"/>
        <w:ind w:firstLine="720"/>
        <w:jc w:val="both"/>
        <w:rPr>
          <w:b/>
          <w:sz w:val="24"/>
          <w:szCs w:val="24"/>
        </w:rPr>
      </w:pPr>
      <w:proofErr w:type="gramStart"/>
      <w:r w:rsidRPr="008C2D5A">
        <w:rPr>
          <w:b/>
          <w:sz w:val="24"/>
          <w:szCs w:val="24"/>
        </w:rPr>
        <w:t>WHEREAS,</w:t>
      </w:r>
      <w:proofErr w:type="gramEnd"/>
      <w:r w:rsidR="00BE5AFE" w:rsidRPr="00BE5AFE">
        <w:rPr>
          <w:sz w:val="24"/>
          <w:szCs w:val="24"/>
        </w:rPr>
        <w:t xml:space="preserve"> Sections 163.3161 through 163.3215, Florida Statutes, as amended, the Local Government Comprehensive Planning and Land Development Regulation Act, requires the City Commission to prepare and adopt regulations concerning the use of land and water to implement the City of Newberry Comprehensive Plan, hereinafter referred to as the Comprehensive Plan;</w:t>
      </w:r>
    </w:p>
    <w:p w14:paraId="1BDC3629" w14:textId="5B520296" w:rsidR="00BE5AFE" w:rsidRPr="00BE5AFE" w:rsidRDefault="008C2D5A" w:rsidP="00BE5AFE">
      <w:pPr>
        <w:spacing w:after="240"/>
        <w:ind w:firstLine="720"/>
        <w:jc w:val="both"/>
        <w:rPr>
          <w:b/>
          <w:sz w:val="24"/>
          <w:szCs w:val="24"/>
        </w:rPr>
      </w:pPr>
      <w:r w:rsidRPr="008C2D5A">
        <w:rPr>
          <w:b/>
          <w:sz w:val="24"/>
          <w:szCs w:val="24"/>
        </w:rPr>
        <w:t>WHEREAS,</w:t>
      </w:r>
      <w:r w:rsidR="00BE5AFE" w:rsidRPr="00BE5AFE">
        <w:rPr>
          <w:sz w:val="24"/>
          <w:szCs w:val="24"/>
        </w:rPr>
        <w:t xml:space="preserve"> an application, </w:t>
      </w:r>
      <w:r w:rsidR="00BE5AFE" w:rsidRPr="008C2D5A">
        <w:rPr>
          <w:b/>
          <w:bCs/>
          <w:sz w:val="24"/>
          <w:szCs w:val="24"/>
        </w:rPr>
        <w:t>LDR 2</w:t>
      </w:r>
      <w:r w:rsidR="003154E5">
        <w:rPr>
          <w:b/>
          <w:bCs/>
          <w:sz w:val="24"/>
          <w:szCs w:val="24"/>
        </w:rPr>
        <w:t>3</w:t>
      </w:r>
      <w:r w:rsidR="00BE5AFE" w:rsidRPr="008C2D5A">
        <w:rPr>
          <w:b/>
          <w:bCs/>
          <w:sz w:val="24"/>
          <w:szCs w:val="24"/>
        </w:rPr>
        <w:t>-</w:t>
      </w:r>
      <w:r w:rsidR="003154E5">
        <w:rPr>
          <w:b/>
          <w:bCs/>
          <w:sz w:val="24"/>
          <w:szCs w:val="24"/>
        </w:rPr>
        <w:t>0</w:t>
      </w:r>
      <w:r w:rsidR="00211A2F">
        <w:rPr>
          <w:b/>
          <w:bCs/>
          <w:sz w:val="24"/>
          <w:szCs w:val="24"/>
        </w:rPr>
        <w:t>6</w:t>
      </w:r>
      <w:r w:rsidR="00BE5AFE" w:rsidRPr="008C2D5A">
        <w:rPr>
          <w:b/>
          <w:bCs/>
          <w:sz w:val="24"/>
          <w:szCs w:val="24"/>
        </w:rPr>
        <w:t>,</w:t>
      </w:r>
      <w:r w:rsidR="00BE5AFE" w:rsidRPr="00BE5AFE">
        <w:rPr>
          <w:sz w:val="24"/>
          <w:szCs w:val="24"/>
        </w:rPr>
        <w:t xml:space="preserve"> for a Site-Specific Amendment to the Official Zoning Atlas (“rezoning”), as described below, has been filed with the City by the property </w:t>
      </w:r>
      <w:proofErr w:type="gramStart"/>
      <w:r w:rsidR="00BE5AFE" w:rsidRPr="00BE5AFE">
        <w:rPr>
          <w:sz w:val="24"/>
          <w:szCs w:val="24"/>
        </w:rPr>
        <w:t>owners;</w:t>
      </w:r>
      <w:proofErr w:type="gramEnd"/>
    </w:p>
    <w:p w14:paraId="6A168128" w14:textId="734A8EB6" w:rsidR="00BE5AFE" w:rsidRPr="00BE5AFE" w:rsidRDefault="008C2D5A" w:rsidP="00BE5AFE">
      <w:pPr>
        <w:spacing w:after="240"/>
        <w:ind w:firstLine="720"/>
        <w:jc w:val="both"/>
        <w:rPr>
          <w:b/>
          <w:sz w:val="24"/>
          <w:szCs w:val="24"/>
        </w:rPr>
      </w:pPr>
      <w:r w:rsidRPr="008C2D5A">
        <w:rPr>
          <w:b/>
          <w:sz w:val="24"/>
          <w:szCs w:val="24"/>
        </w:rPr>
        <w:t>WHEREAS,</w:t>
      </w:r>
      <w:r w:rsidR="00BE5AFE" w:rsidRPr="00BE5AFE">
        <w:rPr>
          <w:sz w:val="24"/>
          <w:szCs w:val="24"/>
        </w:rPr>
        <w:t xml:space="preserve"> the Planning and Zoning Board of the City of Newberry, Florida, hereinafter referred to as the Planning and Zoning Board, has been designated as the Local Planning Agency of the City of Newberry, hereinafter referred to as the Local Planning </w:t>
      </w:r>
      <w:proofErr w:type="gramStart"/>
      <w:r w:rsidR="00BE5AFE" w:rsidRPr="00BE5AFE">
        <w:rPr>
          <w:sz w:val="24"/>
          <w:szCs w:val="24"/>
        </w:rPr>
        <w:t>Agency;</w:t>
      </w:r>
      <w:proofErr w:type="gramEnd"/>
      <w:r w:rsidR="00BE5AFE" w:rsidRPr="00BE5AFE">
        <w:rPr>
          <w:sz w:val="24"/>
          <w:szCs w:val="24"/>
        </w:rPr>
        <w:t xml:space="preserve"> </w:t>
      </w:r>
    </w:p>
    <w:p w14:paraId="7C65D98F" w14:textId="753BEA6F" w:rsidR="00BE5AFE" w:rsidRPr="00BE5AFE" w:rsidRDefault="008C2D5A" w:rsidP="00BE5AFE">
      <w:pPr>
        <w:spacing w:after="240"/>
        <w:ind w:firstLine="720"/>
        <w:jc w:val="both"/>
        <w:rPr>
          <w:b/>
          <w:sz w:val="24"/>
          <w:szCs w:val="24"/>
        </w:rPr>
      </w:pPr>
      <w:r w:rsidRPr="008C2D5A">
        <w:rPr>
          <w:b/>
          <w:sz w:val="24"/>
          <w:szCs w:val="24"/>
        </w:rPr>
        <w:t>WHEREAS,</w:t>
      </w:r>
      <w:r w:rsidR="00BE5AFE" w:rsidRPr="00BE5AFE">
        <w:rPr>
          <w:sz w:val="24"/>
          <w:szCs w:val="24"/>
        </w:rPr>
        <w:t xml:space="preserve"> pursuant to Section 163.3174, Florida Statutes, as amended, and the Land Development Regulations, as amended, the Planning and Zoning Board, serving also as the Local Planning Agency, held the required public hearing, with public notice having been provided, on said application for an amendment, as described below, and at said public hearing, the Planning and Zoning Board, serving also as the Local Planning Agency, reviewed and considered all comments received during said public hearing and the Concurrency Management Assessment concerning said application for an amendment, as described below, and recommended to the City Commission approval of said application for an amendment, as described below; </w:t>
      </w:r>
    </w:p>
    <w:p w14:paraId="6A5830B8" w14:textId="2FDB8A31" w:rsidR="00BE5AFE" w:rsidRDefault="008C2D5A" w:rsidP="00BE5AFE">
      <w:pPr>
        <w:spacing w:after="240"/>
        <w:ind w:firstLine="720"/>
        <w:jc w:val="both"/>
        <w:rPr>
          <w:sz w:val="24"/>
          <w:szCs w:val="24"/>
        </w:rPr>
      </w:pPr>
      <w:r w:rsidRPr="008C2D5A">
        <w:rPr>
          <w:b/>
          <w:sz w:val="24"/>
          <w:szCs w:val="24"/>
        </w:rPr>
        <w:t>WHEREAS,</w:t>
      </w:r>
      <w:r w:rsidR="00BE5AFE" w:rsidRPr="00BE5AFE">
        <w:rPr>
          <w:sz w:val="24"/>
          <w:szCs w:val="24"/>
        </w:rPr>
        <w:t xml:space="preserve"> pursuant to Section 166.041, Florida Statutes, as amended, the City Commission held the required public hearings, with public notice having been provided, on said application for an amendment, as described below, and at said public hearing, the City Commission reviewed and considered all comments received during said public hearing, including the recommendation of the Planning and Zoning Board, serving also as the Local Planning Agency concerning said application for an amendment, as described below; </w:t>
      </w:r>
    </w:p>
    <w:p w14:paraId="145148DA" w14:textId="0D649EE0" w:rsidR="003154E5" w:rsidRPr="003154E5" w:rsidRDefault="003154E5" w:rsidP="003154E5">
      <w:pPr>
        <w:tabs>
          <w:tab w:val="left" w:pos="2646"/>
        </w:tabs>
        <w:rPr>
          <w:sz w:val="24"/>
          <w:szCs w:val="24"/>
        </w:rPr>
      </w:pPr>
      <w:r>
        <w:rPr>
          <w:sz w:val="24"/>
          <w:szCs w:val="24"/>
        </w:rPr>
        <w:tab/>
      </w:r>
    </w:p>
    <w:p w14:paraId="5451E0BA" w14:textId="2A09F5DB" w:rsidR="00BE5AFE" w:rsidRPr="00BE5AFE" w:rsidRDefault="008C2D5A" w:rsidP="00BE5AFE">
      <w:pPr>
        <w:spacing w:after="240"/>
        <w:ind w:firstLine="720"/>
        <w:jc w:val="both"/>
        <w:rPr>
          <w:b/>
          <w:sz w:val="24"/>
          <w:szCs w:val="24"/>
        </w:rPr>
      </w:pPr>
      <w:r w:rsidRPr="008C2D5A">
        <w:rPr>
          <w:b/>
          <w:sz w:val="24"/>
          <w:szCs w:val="24"/>
        </w:rPr>
        <w:lastRenderedPageBreak/>
        <w:t>WHEREAS,</w:t>
      </w:r>
      <w:r w:rsidR="00BE5AFE" w:rsidRPr="00BE5AFE">
        <w:rPr>
          <w:sz w:val="24"/>
          <w:szCs w:val="24"/>
        </w:rPr>
        <w:t xml:space="preserve"> the City Commission has determined and found said application for the amendment to be consistent with the City’s Comprehensive Plan and City’s Land Development Regulations (“LDRs”); and,</w:t>
      </w:r>
    </w:p>
    <w:p w14:paraId="64273043" w14:textId="637DB3A3" w:rsidR="00BE5AFE" w:rsidRPr="00BE5AFE" w:rsidRDefault="008C2D5A" w:rsidP="00BE5AFE">
      <w:pPr>
        <w:spacing w:after="240"/>
        <w:ind w:firstLine="720"/>
        <w:jc w:val="both"/>
        <w:rPr>
          <w:b/>
          <w:sz w:val="24"/>
          <w:szCs w:val="24"/>
        </w:rPr>
      </w:pPr>
      <w:r w:rsidRPr="008C2D5A">
        <w:rPr>
          <w:b/>
          <w:sz w:val="24"/>
          <w:szCs w:val="24"/>
        </w:rPr>
        <w:t>WHEREAS,</w:t>
      </w:r>
      <w:r w:rsidR="00BE5AFE" w:rsidRPr="00BE5AFE">
        <w:rPr>
          <w:sz w:val="24"/>
          <w:szCs w:val="24"/>
        </w:rPr>
        <w:t xml:space="preserve"> the City Commission has determined and found that approval of said application for an amendment, as described below, would promote the public health, safety, morals, order, comfort, convenience, appearance, prosperity or general welfare of the City of Newberry.</w:t>
      </w:r>
    </w:p>
    <w:p w14:paraId="4E735B5F" w14:textId="77777777" w:rsidR="00BE5AFE" w:rsidRPr="008C2D5A" w:rsidRDefault="00BE5AFE" w:rsidP="00BE5AFE">
      <w:pPr>
        <w:spacing w:after="240"/>
        <w:ind w:firstLine="720"/>
        <w:jc w:val="both"/>
        <w:rPr>
          <w:b/>
          <w:bCs/>
          <w:sz w:val="24"/>
          <w:szCs w:val="24"/>
        </w:rPr>
      </w:pPr>
      <w:r w:rsidRPr="008C2D5A">
        <w:rPr>
          <w:b/>
          <w:bCs/>
          <w:sz w:val="24"/>
          <w:szCs w:val="24"/>
        </w:rPr>
        <w:t>NOW, THEREFORE, BE IT ORDAINED BY THE PEOPLE OF THE CITY OF NEWBERRY, FLORIDA, AS FOLLOWS:</w:t>
      </w:r>
    </w:p>
    <w:p w14:paraId="3A852DF8" w14:textId="3843716E" w:rsidR="00BE5AFE" w:rsidRPr="00BE5AFE" w:rsidRDefault="00BE5AFE" w:rsidP="00460041">
      <w:pPr>
        <w:spacing w:after="160"/>
        <w:ind w:firstLine="720"/>
        <w:jc w:val="both"/>
        <w:rPr>
          <w:b/>
          <w:sz w:val="24"/>
          <w:szCs w:val="24"/>
        </w:rPr>
      </w:pPr>
      <w:r w:rsidRPr="008C2D5A">
        <w:rPr>
          <w:b/>
          <w:bCs/>
          <w:sz w:val="24"/>
          <w:szCs w:val="24"/>
          <w:u w:val="single"/>
        </w:rPr>
        <w:t>Section 1</w:t>
      </w:r>
      <w:r w:rsidRPr="008C2D5A">
        <w:rPr>
          <w:b/>
          <w:bCs/>
          <w:sz w:val="24"/>
          <w:szCs w:val="24"/>
        </w:rPr>
        <w:t>. Official Zoning Map Amended.</w:t>
      </w:r>
      <w:r w:rsidRPr="00BE5AFE">
        <w:rPr>
          <w:sz w:val="24"/>
          <w:szCs w:val="24"/>
        </w:rPr>
        <w:t xml:space="preserve"> Pursuant to an application </w:t>
      </w:r>
      <w:r w:rsidRPr="00BE5AFE">
        <w:rPr>
          <w:bCs/>
          <w:sz w:val="24"/>
          <w:szCs w:val="24"/>
        </w:rPr>
        <w:t>LDR 2</w:t>
      </w:r>
      <w:r w:rsidR="003154E5">
        <w:rPr>
          <w:bCs/>
          <w:sz w:val="24"/>
          <w:szCs w:val="24"/>
        </w:rPr>
        <w:t>3</w:t>
      </w:r>
      <w:r w:rsidRPr="00BE5AFE">
        <w:rPr>
          <w:bCs/>
          <w:sz w:val="24"/>
          <w:szCs w:val="24"/>
        </w:rPr>
        <w:t>-</w:t>
      </w:r>
      <w:r w:rsidR="003154E5">
        <w:rPr>
          <w:bCs/>
          <w:sz w:val="24"/>
          <w:szCs w:val="24"/>
        </w:rPr>
        <w:t>0</w:t>
      </w:r>
      <w:r w:rsidR="00211A2F">
        <w:rPr>
          <w:bCs/>
          <w:sz w:val="24"/>
          <w:szCs w:val="24"/>
        </w:rPr>
        <w:t>6</w:t>
      </w:r>
      <w:r w:rsidRPr="00BE5AFE">
        <w:rPr>
          <w:bCs/>
          <w:sz w:val="24"/>
          <w:szCs w:val="24"/>
        </w:rPr>
        <w:t xml:space="preserve"> by </w:t>
      </w:r>
      <w:r w:rsidR="004818D9" w:rsidRPr="004818D9">
        <w:rPr>
          <w:bCs/>
          <w:sz w:val="24"/>
          <w:szCs w:val="24"/>
        </w:rPr>
        <w:t>Patrice Boyes, Esq. and CHW Professional Consultants, agent, on behalf of Norfleet Properties, LLLP; E.D. Norfleet &amp; Sons, Inc.; E.D. Norfleet, Jr. and Phyllis Norfleet; E.D. Norfleet III; Katrina Bill; and, Norfleet Construction Co.</w:t>
      </w:r>
      <w:r w:rsidRPr="004818D9">
        <w:rPr>
          <w:bCs/>
          <w:sz w:val="24"/>
          <w:szCs w:val="24"/>
        </w:rPr>
        <w:t xml:space="preserve">, </w:t>
      </w:r>
      <w:r w:rsidR="003154E5" w:rsidRPr="004818D9">
        <w:rPr>
          <w:bCs/>
          <w:sz w:val="24"/>
          <w:szCs w:val="24"/>
        </w:rPr>
        <w:t>o</w:t>
      </w:r>
      <w:r w:rsidRPr="004818D9">
        <w:rPr>
          <w:bCs/>
          <w:sz w:val="24"/>
          <w:szCs w:val="24"/>
        </w:rPr>
        <w:t>wner</w:t>
      </w:r>
      <w:r w:rsidR="003154E5" w:rsidRPr="004818D9">
        <w:rPr>
          <w:bCs/>
          <w:sz w:val="24"/>
          <w:szCs w:val="24"/>
        </w:rPr>
        <w:t>s</w:t>
      </w:r>
      <w:r w:rsidRPr="004818D9">
        <w:rPr>
          <w:bCs/>
          <w:sz w:val="24"/>
          <w:szCs w:val="24"/>
        </w:rPr>
        <w:t>, to amend the Official Zoning Atlas of the City of Newberry Land Development Regulat</w:t>
      </w:r>
      <w:r w:rsidR="003154E5" w:rsidRPr="004818D9">
        <w:rPr>
          <w:bCs/>
          <w:sz w:val="24"/>
          <w:szCs w:val="24"/>
        </w:rPr>
        <w:t>i</w:t>
      </w:r>
      <w:r w:rsidRPr="004818D9">
        <w:rPr>
          <w:bCs/>
          <w:sz w:val="24"/>
          <w:szCs w:val="24"/>
        </w:rPr>
        <w:t xml:space="preserve">ons by changing the zoning from Agricultural (A) to Planned Development (PD) on </w:t>
      </w:r>
      <w:r w:rsidR="003154E5" w:rsidRPr="004818D9">
        <w:rPr>
          <w:bCs/>
          <w:sz w:val="24"/>
          <w:szCs w:val="24"/>
        </w:rPr>
        <w:t>12</w:t>
      </w:r>
      <w:r w:rsidR="004818D9" w:rsidRPr="004818D9">
        <w:rPr>
          <w:bCs/>
          <w:sz w:val="24"/>
          <w:szCs w:val="24"/>
        </w:rPr>
        <w:t>9</w:t>
      </w:r>
      <w:r w:rsidR="000225A8">
        <w:rPr>
          <w:bCs/>
          <w:sz w:val="24"/>
          <w:szCs w:val="24"/>
        </w:rPr>
        <w:t>3</w:t>
      </w:r>
      <w:r w:rsidR="004818D9" w:rsidRPr="004818D9">
        <w:rPr>
          <w:bCs/>
          <w:sz w:val="24"/>
          <w:szCs w:val="24"/>
        </w:rPr>
        <w:t xml:space="preserve"> </w:t>
      </w:r>
      <w:r w:rsidRPr="004818D9">
        <w:rPr>
          <w:bCs/>
          <w:sz w:val="24"/>
          <w:szCs w:val="24"/>
        </w:rPr>
        <w:t>acres</w:t>
      </w:r>
      <w:r w:rsidR="003154E5" w:rsidRPr="004818D9">
        <w:rPr>
          <w:bCs/>
          <w:sz w:val="24"/>
          <w:szCs w:val="24"/>
        </w:rPr>
        <w:t>, more or less</w:t>
      </w:r>
      <w:r w:rsidRPr="004818D9">
        <w:rPr>
          <w:bCs/>
          <w:sz w:val="24"/>
          <w:szCs w:val="24"/>
        </w:rPr>
        <w:t xml:space="preserve">, </w:t>
      </w:r>
      <w:r w:rsidRPr="004818D9">
        <w:rPr>
          <w:b/>
          <w:bCs/>
          <w:sz w:val="24"/>
          <w:szCs w:val="24"/>
        </w:rPr>
        <w:t xml:space="preserve">the </w:t>
      </w:r>
      <w:r w:rsidR="001D6459" w:rsidRPr="004818D9">
        <w:rPr>
          <w:b/>
          <w:bCs/>
          <w:sz w:val="24"/>
          <w:szCs w:val="24"/>
        </w:rPr>
        <w:t xml:space="preserve">Zoning District </w:t>
      </w:r>
      <w:r w:rsidRPr="004818D9">
        <w:rPr>
          <w:b/>
          <w:bCs/>
          <w:sz w:val="24"/>
          <w:szCs w:val="24"/>
        </w:rPr>
        <w:t>classification is hereby changed from</w:t>
      </w:r>
      <w:bookmarkStart w:id="1" w:name="A7"/>
      <w:r w:rsidRPr="004818D9">
        <w:rPr>
          <w:b/>
          <w:bCs/>
          <w:sz w:val="24"/>
          <w:szCs w:val="24"/>
        </w:rPr>
        <w:t xml:space="preserve"> AGRICULTURAL (A) to</w:t>
      </w:r>
      <w:r w:rsidRPr="001D6459">
        <w:rPr>
          <w:b/>
          <w:bCs/>
          <w:sz w:val="24"/>
          <w:szCs w:val="24"/>
        </w:rPr>
        <w:t xml:space="preserve"> PLANNED DEVELOPMENT (PD)</w:t>
      </w:r>
      <w:bookmarkEnd w:id="1"/>
      <w:r w:rsidRPr="00BE5AFE">
        <w:rPr>
          <w:sz w:val="24"/>
          <w:szCs w:val="24"/>
        </w:rPr>
        <w:t xml:space="preserve"> on property more particularly described </w:t>
      </w:r>
      <w:r w:rsidR="001A3A37">
        <w:rPr>
          <w:sz w:val="24"/>
          <w:szCs w:val="24"/>
        </w:rPr>
        <w:t>in Exhibit A.</w:t>
      </w:r>
    </w:p>
    <w:p w14:paraId="12665964" w14:textId="2510F8AD" w:rsidR="00BE5AFE" w:rsidRPr="00BE5AFE" w:rsidRDefault="00BE5AFE" w:rsidP="00460041">
      <w:pPr>
        <w:ind w:firstLine="720"/>
        <w:rPr>
          <w:b/>
          <w:sz w:val="24"/>
          <w:szCs w:val="24"/>
        </w:rPr>
      </w:pPr>
      <w:r w:rsidRPr="00B638AA">
        <w:rPr>
          <w:b/>
          <w:bCs/>
          <w:sz w:val="24"/>
          <w:szCs w:val="24"/>
          <w:u w:val="single"/>
        </w:rPr>
        <w:t>Section 2</w:t>
      </w:r>
      <w:r w:rsidRPr="00B638AA">
        <w:rPr>
          <w:b/>
          <w:bCs/>
          <w:sz w:val="24"/>
          <w:szCs w:val="24"/>
        </w:rPr>
        <w:t xml:space="preserve">. Preliminary Development Plan. </w:t>
      </w:r>
      <w:r w:rsidRPr="00BE5AFE">
        <w:rPr>
          <w:sz w:val="24"/>
          <w:szCs w:val="24"/>
        </w:rPr>
        <w:t xml:space="preserve">A preliminary development plan, submitted as part of the </w:t>
      </w:r>
      <w:r w:rsidR="00C6450E" w:rsidRPr="00BE5AFE">
        <w:rPr>
          <w:sz w:val="24"/>
          <w:szCs w:val="24"/>
        </w:rPr>
        <w:t>above-described</w:t>
      </w:r>
      <w:r w:rsidRPr="00BE5AFE">
        <w:rPr>
          <w:sz w:val="24"/>
          <w:szCs w:val="24"/>
        </w:rPr>
        <w:t xml:space="preserve"> application and herewith made a part of this ordinance as</w:t>
      </w:r>
      <w:r w:rsidR="000225A8">
        <w:rPr>
          <w:sz w:val="24"/>
          <w:szCs w:val="24"/>
        </w:rPr>
        <w:t xml:space="preserve"> </w:t>
      </w:r>
      <w:r w:rsidR="000F3938">
        <w:rPr>
          <w:i/>
          <w:iCs/>
          <w:sz w:val="24"/>
          <w:szCs w:val="24"/>
        </w:rPr>
        <w:t>EXHIBIT</w:t>
      </w:r>
      <w:r w:rsidR="000225A8">
        <w:rPr>
          <w:i/>
          <w:iCs/>
          <w:sz w:val="24"/>
          <w:szCs w:val="24"/>
        </w:rPr>
        <w:t xml:space="preserve"> C</w:t>
      </w:r>
      <w:r w:rsidR="000F3938" w:rsidRPr="00BE5AFE">
        <w:rPr>
          <w:sz w:val="24"/>
          <w:szCs w:val="24"/>
        </w:rPr>
        <w:t xml:space="preserve">, </w:t>
      </w:r>
      <w:r w:rsidRPr="00BE5AFE">
        <w:rPr>
          <w:sz w:val="24"/>
          <w:szCs w:val="24"/>
        </w:rPr>
        <w:t xml:space="preserve">shall govern the development and use of the </w:t>
      </w:r>
      <w:proofErr w:type="gramStart"/>
      <w:r w:rsidRPr="00BE5AFE">
        <w:rPr>
          <w:sz w:val="24"/>
          <w:szCs w:val="24"/>
        </w:rPr>
        <w:t>above described</w:t>
      </w:r>
      <w:proofErr w:type="gramEnd"/>
      <w:r w:rsidRPr="00BE5AFE">
        <w:rPr>
          <w:sz w:val="24"/>
          <w:szCs w:val="24"/>
        </w:rPr>
        <w:t xml:space="preserve"> property.</w:t>
      </w:r>
      <w:r w:rsidR="008C2D5A" w:rsidRPr="008C2D5A">
        <w:rPr>
          <w:b/>
          <w:sz w:val="24"/>
          <w:szCs w:val="24"/>
        </w:rPr>
        <w:t xml:space="preserve"> </w:t>
      </w:r>
      <w:r w:rsidRPr="00BE5AFE">
        <w:rPr>
          <w:sz w:val="24"/>
          <w:szCs w:val="24"/>
        </w:rPr>
        <w:t xml:space="preserve">Any deviation from the </w:t>
      </w:r>
      <w:r w:rsidR="00460041">
        <w:rPr>
          <w:sz w:val="24"/>
          <w:szCs w:val="24"/>
        </w:rPr>
        <w:t>Preliminary Development</w:t>
      </w:r>
      <w:r w:rsidRPr="00BE5AFE">
        <w:rPr>
          <w:sz w:val="24"/>
          <w:szCs w:val="24"/>
        </w:rPr>
        <w:t xml:space="preserve"> </w:t>
      </w:r>
      <w:r w:rsidR="00460041">
        <w:rPr>
          <w:sz w:val="24"/>
          <w:szCs w:val="24"/>
        </w:rPr>
        <w:t>P</w:t>
      </w:r>
      <w:r w:rsidRPr="00BE5AFE">
        <w:rPr>
          <w:sz w:val="24"/>
          <w:szCs w:val="24"/>
        </w:rPr>
        <w:t xml:space="preserve">lan </w:t>
      </w:r>
      <w:proofErr w:type="gramStart"/>
      <w:r w:rsidR="00460041">
        <w:rPr>
          <w:sz w:val="24"/>
          <w:szCs w:val="24"/>
        </w:rPr>
        <w:t>not deemed</w:t>
      </w:r>
      <w:proofErr w:type="gramEnd"/>
      <w:r w:rsidR="00460041">
        <w:rPr>
          <w:sz w:val="24"/>
          <w:szCs w:val="24"/>
        </w:rPr>
        <w:t xml:space="preserve"> a permitted minor change </w:t>
      </w:r>
      <w:r w:rsidRPr="00BE5AFE">
        <w:rPr>
          <w:sz w:val="24"/>
          <w:szCs w:val="24"/>
        </w:rPr>
        <w:t>shall be deemed a violation of the Land Development Regulations.</w:t>
      </w:r>
    </w:p>
    <w:p w14:paraId="7B8004F3" w14:textId="77777777" w:rsidR="00BE5AFE" w:rsidRPr="00BE5AFE" w:rsidRDefault="00BE5AFE" w:rsidP="00BE5AFE">
      <w:pPr>
        <w:rPr>
          <w:b/>
          <w:sz w:val="24"/>
          <w:szCs w:val="24"/>
        </w:rPr>
      </w:pPr>
    </w:p>
    <w:p w14:paraId="794AE43F" w14:textId="0EAF0394" w:rsidR="00BE5AFE" w:rsidRPr="00BE5AFE" w:rsidRDefault="00BE5AFE" w:rsidP="00460041">
      <w:pPr>
        <w:pStyle w:val="BodyText"/>
        <w:spacing w:after="120"/>
        <w:ind w:firstLine="720"/>
      </w:pPr>
      <w:r w:rsidRPr="00BE5AFE">
        <w:rPr>
          <w:b/>
          <w:bCs/>
          <w:u w:val="single"/>
        </w:rPr>
        <w:t>Section 3.</w:t>
      </w:r>
      <w:r w:rsidRPr="00BE5AFE">
        <w:rPr>
          <w:b/>
          <w:bCs/>
        </w:rPr>
        <w:t xml:space="preserve"> Development Order.</w:t>
      </w:r>
      <w:r w:rsidRPr="00BE5AFE">
        <w:t xml:space="preserve"> A Development Order with findings and conditions is herewith made a part of this ordinance as </w:t>
      </w:r>
      <w:r w:rsidR="004818D9" w:rsidRPr="004818D9">
        <w:t>EXHIBIT C</w:t>
      </w:r>
      <w:r w:rsidRPr="00BE5AFE">
        <w:t xml:space="preserve">, shall govern the development and use of the </w:t>
      </w:r>
      <w:proofErr w:type="gramStart"/>
      <w:r w:rsidRPr="00BE5AFE">
        <w:t>above described</w:t>
      </w:r>
      <w:proofErr w:type="gramEnd"/>
      <w:r w:rsidRPr="00BE5AFE">
        <w:t xml:space="preserve"> property.</w:t>
      </w:r>
      <w:r w:rsidR="008C2D5A" w:rsidRPr="008C2D5A">
        <w:rPr>
          <w:b/>
        </w:rPr>
        <w:t xml:space="preserve"> </w:t>
      </w:r>
      <w:r w:rsidRPr="00BE5AFE">
        <w:t>Any deviation from the development order shall be deemed a violation of the Land Development Regulations.</w:t>
      </w:r>
    </w:p>
    <w:p w14:paraId="49233C66" w14:textId="7A092655" w:rsidR="00BE5AFE" w:rsidRPr="00BE5AFE" w:rsidRDefault="00C6450E" w:rsidP="00460041">
      <w:pPr>
        <w:spacing w:after="240"/>
        <w:ind w:firstLine="720"/>
        <w:jc w:val="both"/>
        <w:rPr>
          <w:b/>
          <w:sz w:val="24"/>
          <w:szCs w:val="24"/>
        </w:rPr>
      </w:pPr>
      <w:r w:rsidRPr="00C6450E">
        <w:rPr>
          <w:b/>
          <w:bCs/>
          <w:sz w:val="24"/>
          <w:szCs w:val="24"/>
          <w:u w:val="single"/>
        </w:rPr>
        <w:t xml:space="preserve">Section </w:t>
      </w:r>
      <w:r w:rsidR="00C8156F">
        <w:rPr>
          <w:b/>
          <w:bCs/>
          <w:sz w:val="24"/>
          <w:szCs w:val="24"/>
          <w:u w:val="single"/>
        </w:rPr>
        <w:t>4</w:t>
      </w:r>
      <w:r w:rsidRPr="00C6450E">
        <w:rPr>
          <w:b/>
          <w:bCs/>
          <w:sz w:val="24"/>
          <w:szCs w:val="24"/>
          <w:u w:val="single"/>
        </w:rPr>
        <w:t>.</w:t>
      </w:r>
      <w:r>
        <w:rPr>
          <w:b/>
          <w:bCs/>
          <w:sz w:val="24"/>
          <w:szCs w:val="24"/>
        </w:rPr>
        <w:t xml:space="preserve"> </w:t>
      </w:r>
      <w:r w:rsidR="00BE5AFE" w:rsidRPr="00A26964">
        <w:rPr>
          <w:b/>
          <w:bCs/>
          <w:sz w:val="24"/>
          <w:szCs w:val="24"/>
        </w:rPr>
        <w:t>Severability.</w:t>
      </w:r>
      <w:r w:rsidR="008C2D5A" w:rsidRPr="008C2D5A">
        <w:rPr>
          <w:b/>
          <w:sz w:val="24"/>
          <w:szCs w:val="24"/>
        </w:rPr>
        <w:t xml:space="preserve"> </w:t>
      </w:r>
      <w:r w:rsidR="00BE5AFE" w:rsidRPr="00BE5AFE">
        <w:rPr>
          <w:sz w:val="24"/>
          <w:szCs w:val="24"/>
        </w:rPr>
        <w:t>If any provision or portion of this Ordinance is declared by any court of competent jurisdiction to be void, unconstitutional</w:t>
      </w:r>
      <w:r w:rsidR="004818D9">
        <w:rPr>
          <w:sz w:val="24"/>
          <w:szCs w:val="24"/>
        </w:rPr>
        <w:t>,</w:t>
      </w:r>
      <w:r w:rsidR="00BE5AFE" w:rsidRPr="00BE5AFE">
        <w:rPr>
          <w:sz w:val="24"/>
          <w:szCs w:val="24"/>
        </w:rPr>
        <w:t xml:space="preserve"> or unenforceable, then all remaining provisions and portions of this ordinance shall remain in full force and effect.</w:t>
      </w:r>
    </w:p>
    <w:p w14:paraId="67D0E41A" w14:textId="1DA9F424" w:rsidR="00BE5AFE" w:rsidRPr="00BE5AFE" w:rsidRDefault="00BE5AFE" w:rsidP="00460041">
      <w:pPr>
        <w:spacing w:after="240"/>
        <w:ind w:firstLine="720"/>
        <w:jc w:val="both"/>
        <w:rPr>
          <w:b/>
          <w:sz w:val="24"/>
          <w:szCs w:val="24"/>
        </w:rPr>
      </w:pPr>
      <w:r w:rsidRPr="00A26964">
        <w:rPr>
          <w:b/>
          <w:bCs/>
          <w:sz w:val="24"/>
          <w:szCs w:val="24"/>
          <w:u w:val="single"/>
        </w:rPr>
        <w:t xml:space="preserve">Section </w:t>
      </w:r>
      <w:r w:rsidR="00C8156F">
        <w:rPr>
          <w:b/>
          <w:bCs/>
          <w:sz w:val="24"/>
          <w:szCs w:val="24"/>
          <w:u w:val="single"/>
        </w:rPr>
        <w:t>5</w:t>
      </w:r>
      <w:r w:rsidRPr="00A26964">
        <w:rPr>
          <w:b/>
          <w:bCs/>
          <w:sz w:val="24"/>
          <w:szCs w:val="24"/>
        </w:rPr>
        <w:t>.</w:t>
      </w:r>
      <w:r w:rsidR="008C2D5A" w:rsidRPr="00A26964">
        <w:rPr>
          <w:b/>
          <w:bCs/>
          <w:sz w:val="24"/>
          <w:szCs w:val="24"/>
        </w:rPr>
        <w:t xml:space="preserve"> </w:t>
      </w:r>
      <w:r w:rsidRPr="00A26964">
        <w:rPr>
          <w:b/>
          <w:bCs/>
          <w:sz w:val="24"/>
          <w:szCs w:val="24"/>
        </w:rPr>
        <w:t>Conflict.</w:t>
      </w:r>
      <w:r w:rsidR="008C2D5A" w:rsidRPr="008C2D5A">
        <w:rPr>
          <w:b/>
          <w:sz w:val="24"/>
          <w:szCs w:val="24"/>
        </w:rPr>
        <w:t xml:space="preserve"> </w:t>
      </w:r>
      <w:r w:rsidRPr="00BE5AFE">
        <w:rPr>
          <w:sz w:val="24"/>
          <w:szCs w:val="24"/>
        </w:rPr>
        <w:t>All ordinances or parts of ordinances in conflict herewith are hereby repealed to the extent of such conflict.</w:t>
      </w:r>
    </w:p>
    <w:p w14:paraId="53CBAB7C" w14:textId="718B61AE" w:rsidR="00BE5AFE" w:rsidRPr="00BE5AFE" w:rsidRDefault="00BE5AFE" w:rsidP="00460041">
      <w:pPr>
        <w:spacing w:after="240"/>
        <w:ind w:firstLine="720"/>
        <w:jc w:val="both"/>
        <w:rPr>
          <w:b/>
          <w:sz w:val="24"/>
          <w:szCs w:val="24"/>
        </w:rPr>
      </w:pPr>
      <w:r w:rsidRPr="00A26964">
        <w:rPr>
          <w:b/>
          <w:bCs/>
          <w:sz w:val="24"/>
          <w:szCs w:val="24"/>
          <w:u w:val="single"/>
        </w:rPr>
        <w:t xml:space="preserve">Section </w:t>
      </w:r>
      <w:r w:rsidR="00C8156F">
        <w:rPr>
          <w:b/>
          <w:bCs/>
          <w:sz w:val="24"/>
          <w:szCs w:val="24"/>
          <w:u w:val="single"/>
        </w:rPr>
        <w:t>6</w:t>
      </w:r>
      <w:r w:rsidRPr="00A26964">
        <w:rPr>
          <w:b/>
          <w:bCs/>
          <w:sz w:val="24"/>
          <w:szCs w:val="24"/>
        </w:rPr>
        <w:t>.</w:t>
      </w:r>
      <w:r w:rsidR="008C2D5A" w:rsidRPr="00A26964">
        <w:rPr>
          <w:b/>
          <w:bCs/>
          <w:sz w:val="24"/>
          <w:szCs w:val="24"/>
        </w:rPr>
        <w:t xml:space="preserve"> </w:t>
      </w:r>
      <w:r w:rsidRPr="00A26964">
        <w:rPr>
          <w:b/>
          <w:bCs/>
          <w:sz w:val="24"/>
          <w:szCs w:val="24"/>
        </w:rPr>
        <w:t>Effective Date.</w:t>
      </w:r>
      <w:r w:rsidR="008C2D5A" w:rsidRPr="008C2D5A">
        <w:rPr>
          <w:b/>
          <w:sz w:val="24"/>
          <w:szCs w:val="24"/>
        </w:rPr>
        <w:t xml:space="preserve"> </w:t>
      </w:r>
      <w:r w:rsidRPr="00BE5AFE">
        <w:rPr>
          <w:sz w:val="24"/>
          <w:szCs w:val="24"/>
        </w:rPr>
        <w:t xml:space="preserve">This Ordinance shall be adopted upon the date provided below, as passed, but shall only become effective upon the date of effectiveness of the corresponding Future Land Use Plan Amendment, </w:t>
      </w:r>
      <w:r w:rsidR="004D53F1">
        <w:rPr>
          <w:sz w:val="24"/>
          <w:szCs w:val="24"/>
        </w:rPr>
        <w:t xml:space="preserve">File No. </w:t>
      </w:r>
      <w:r w:rsidRPr="00BE5AFE">
        <w:rPr>
          <w:sz w:val="24"/>
          <w:szCs w:val="24"/>
        </w:rPr>
        <w:t>CPA 2</w:t>
      </w:r>
      <w:r w:rsidR="00460041">
        <w:rPr>
          <w:sz w:val="24"/>
          <w:szCs w:val="24"/>
        </w:rPr>
        <w:t>3</w:t>
      </w:r>
      <w:r w:rsidRPr="00BE5AFE">
        <w:rPr>
          <w:sz w:val="24"/>
          <w:szCs w:val="24"/>
        </w:rPr>
        <w:t>-</w:t>
      </w:r>
      <w:r w:rsidR="00460041">
        <w:rPr>
          <w:sz w:val="24"/>
          <w:szCs w:val="24"/>
        </w:rPr>
        <w:t>0</w:t>
      </w:r>
      <w:r w:rsidR="004D53F1">
        <w:rPr>
          <w:sz w:val="24"/>
          <w:szCs w:val="24"/>
        </w:rPr>
        <w:t>6/Ordinance No. 2023-2</w:t>
      </w:r>
      <w:r w:rsidR="008A51C8">
        <w:rPr>
          <w:sz w:val="24"/>
          <w:szCs w:val="24"/>
        </w:rPr>
        <w:t>3</w:t>
      </w:r>
      <w:r w:rsidRPr="00BE5AFE">
        <w:rPr>
          <w:sz w:val="24"/>
          <w:szCs w:val="24"/>
        </w:rPr>
        <w:t>.</w:t>
      </w:r>
    </w:p>
    <w:p w14:paraId="2960A7AD" w14:textId="709CDC76" w:rsidR="00D3529C" w:rsidRPr="00BE5AFE" w:rsidRDefault="00BE5AFE" w:rsidP="00460041">
      <w:pPr>
        <w:spacing w:after="240"/>
        <w:ind w:firstLine="720"/>
        <w:jc w:val="both"/>
        <w:rPr>
          <w:sz w:val="24"/>
          <w:szCs w:val="24"/>
        </w:rPr>
      </w:pPr>
      <w:r w:rsidRPr="00A26964">
        <w:rPr>
          <w:b/>
          <w:bCs/>
          <w:sz w:val="24"/>
          <w:szCs w:val="24"/>
          <w:u w:val="single"/>
        </w:rPr>
        <w:t xml:space="preserve">Section </w:t>
      </w:r>
      <w:r w:rsidR="00C8156F">
        <w:rPr>
          <w:b/>
          <w:bCs/>
          <w:sz w:val="24"/>
          <w:szCs w:val="24"/>
          <w:u w:val="single"/>
        </w:rPr>
        <w:t>7</w:t>
      </w:r>
      <w:r w:rsidRPr="00A26964">
        <w:rPr>
          <w:b/>
          <w:bCs/>
          <w:sz w:val="24"/>
          <w:szCs w:val="24"/>
          <w:u w:val="single"/>
        </w:rPr>
        <w:t>.</w:t>
      </w:r>
      <w:r w:rsidR="008C2D5A" w:rsidRPr="00A26964">
        <w:rPr>
          <w:b/>
          <w:bCs/>
          <w:sz w:val="24"/>
          <w:szCs w:val="24"/>
        </w:rPr>
        <w:t xml:space="preserve"> </w:t>
      </w:r>
      <w:r w:rsidRPr="00A26964">
        <w:rPr>
          <w:b/>
          <w:bCs/>
          <w:sz w:val="24"/>
          <w:szCs w:val="24"/>
        </w:rPr>
        <w:t>Authority.</w:t>
      </w:r>
      <w:r w:rsidR="008C2D5A" w:rsidRPr="008C2D5A">
        <w:rPr>
          <w:b/>
          <w:sz w:val="24"/>
          <w:szCs w:val="24"/>
        </w:rPr>
        <w:t xml:space="preserve"> </w:t>
      </w:r>
      <w:r w:rsidRPr="00BE5AFE">
        <w:rPr>
          <w:sz w:val="24"/>
          <w:szCs w:val="24"/>
        </w:rPr>
        <w:t>This Ordinance is adopted pursuant to the authority granted by Section 166.021, Florida Statutes, as amended, and Sections 163.3161 through 163.3215, Florida Statutes, as amended</w:t>
      </w:r>
      <w:r w:rsidR="00C6450E">
        <w:rPr>
          <w:sz w:val="24"/>
          <w:szCs w:val="24"/>
        </w:rPr>
        <w:t>.</w:t>
      </w:r>
    </w:p>
    <w:p w14:paraId="7EAC5584" w14:textId="3885D09B" w:rsidR="00BE5AFE" w:rsidRPr="00BE5AFE" w:rsidRDefault="00BE5AFE" w:rsidP="004D53F1">
      <w:pPr>
        <w:spacing w:after="240"/>
        <w:ind w:firstLine="720"/>
        <w:jc w:val="both"/>
        <w:rPr>
          <w:b/>
          <w:sz w:val="24"/>
          <w:szCs w:val="24"/>
        </w:rPr>
      </w:pPr>
      <w:r w:rsidRPr="00BE5AFE">
        <w:rPr>
          <w:sz w:val="24"/>
          <w:szCs w:val="24"/>
        </w:rPr>
        <w:lastRenderedPageBreak/>
        <w:t>DONE THE FIRST READING, by the City Commission of the City of Newberry, Florida, at a regular meeting, this _</w:t>
      </w:r>
      <w:bookmarkStart w:id="2" w:name="_Hlk128406331"/>
      <w:r w:rsidR="0040549B" w:rsidRPr="0040549B">
        <w:rPr>
          <w:sz w:val="24"/>
          <w:szCs w:val="24"/>
          <w:u w:val="single"/>
        </w:rPr>
        <w:t>15</w:t>
      </w:r>
      <w:r w:rsidRPr="00BE5AFE">
        <w:rPr>
          <w:sz w:val="24"/>
          <w:szCs w:val="24"/>
        </w:rPr>
        <w:t xml:space="preserve">__day of </w:t>
      </w:r>
      <w:r w:rsidRPr="00BE5AFE">
        <w:rPr>
          <w:sz w:val="24"/>
          <w:szCs w:val="24"/>
          <w:u w:val="single"/>
        </w:rPr>
        <w:tab/>
      </w:r>
      <w:proofErr w:type="gramStart"/>
      <w:r w:rsidR="0040549B">
        <w:rPr>
          <w:sz w:val="24"/>
          <w:szCs w:val="24"/>
          <w:u w:val="single"/>
        </w:rPr>
        <w:t>April</w:t>
      </w:r>
      <w:r w:rsidRPr="00BE5AFE">
        <w:rPr>
          <w:sz w:val="24"/>
          <w:szCs w:val="24"/>
          <w:u w:val="single"/>
        </w:rPr>
        <w:t xml:space="preserve">     </w:t>
      </w:r>
      <w:r w:rsidRPr="00BE5AFE">
        <w:rPr>
          <w:sz w:val="24"/>
          <w:szCs w:val="24"/>
        </w:rPr>
        <w:t>,</w:t>
      </w:r>
      <w:proofErr w:type="gramEnd"/>
      <w:r w:rsidRPr="00BE5AFE">
        <w:rPr>
          <w:sz w:val="24"/>
          <w:szCs w:val="24"/>
        </w:rPr>
        <w:t xml:space="preserve"> 20</w:t>
      </w:r>
      <w:r w:rsidRPr="00460041">
        <w:rPr>
          <w:sz w:val="24"/>
          <w:szCs w:val="24"/>
          <w:u w:val="single"/>
        </w:rPr>
        <w:t>2</w:t>
      </w:r>
      <w:bookmarkEnd w:id="2"/>
      <w:r w:rsidR="0040549B">
        <w:rPr>
          <w:sz w:val="24"/>
          <w:szCs w:val="24"/>
          <w:u w:val="single"/>
        </w:rPr>
        <w:t>4</w:t>
      </w:r>
      <w:r w:rsidRPr="00BE5AFE">
        <w:rPr>
          <w:sz w:val="24"/>
          <w:szCs w:val="24"/>
        </w:rPr>
        <w:t>.</w:t>
      </w:r>
    </w:p>
    <w:p w14:paraId="6EA15684" w14:textId="07E04B45" w:rsidR="00BE5AFE" w:rsidRPr="00BE5AFE" w:rsidRDefault="00BE5AFE" w:rsidP="004D53F1">
      <w:pPr>
        <w:spacing w:after="240"/>
        <w:ind w:firstLine="720"/>
        <w:jc w:val="both"/>
        <w:rPr>
          <w:b/>
          <w:sz w:val="24"/>
          <w:szCs w:val="24"/>
        </w:rPr>
      </w:pPr>
      <w:r w:rsidRPr="00BE5AFE">
        <w:rPr>
          <w:sz w:val="24"/>
          <w:szCs w:val="24"/>
        </w:rPr>
        <w:t xml:space="preserve">DONE, THE PUBLIC NOTICE, in a newspaper of general circulation in the City of Newberry, Florida, by the City Clerk of the City of Newberry, Florida on this </w:t>
      </w:r>
      <w:r w:rsidR="002A111E" w:rsidRPr="002A111E">
        <w:rPr>
          <w:sz w:val="24"/>
          <w:szCs w:val="24"/>
          <w:u w:val="single"/>
        </w:rPr>
        <w:t xml:space="preserve"> </w:t>
      </w:r>
      <w:r w:rsidRPr="00BE5AFE">
        <w:rPr>
          <w:sz w:val="24"/>
          <w:szCs w:val="24"/>
        </w:rPr>
        <w:t xml:space="preserve">day of </w:t>
      </w:r>
      <w:r w:rsidRPr="00BE5AFE">
        <w:rPr>
          <w:sz w:val="24"/>
          <w:szCs w:val="24"/>
          <w:u w:val="single"/>
        </w:rPr>
        <w:tab/>
      </w:r>
      <w:r w:rsidR="000206F5" w:rsidRPr="00BE5AFE">
        <w:rPr>
          <w:sz w:val="24"/>
          <w:szCs w:val="24"/>
          <w:u w:val="single"/>
        </w:rPr>
        <w:t xml:space="preserve">     </w:t>
      </w:r>
      <w:r w:rsidRPr="00BE5AFE">
        <w:rPr>
          <w:sz w:val="24"/>
          <w:szCs w:val="24"/>
          <w:u w:val="single"/>
        </w:rPr>
        <w:t xml:space="preserve">  </w:t>
      </w:r>
      <w:r w:rsidRPr="00BE5AFE">
        <w:rPr>
          <w:sz w:val="24"/>
          <w:szCs w:val="24"/>
        </w:rPr>
        <w:t>, 20</w:t>
      </w:r>
      <w:r w:rsidRPr="00460041">
        <w:rPr>
          <w:sz w:val="24"/>
          <w:szCs w:val="24"/>
          <w:u w:val="single"/>
        </w:rPr>
        <w:t>2</w:t>
      </w:r>
      <w:r w:rsidR="0040549B">
        <w:rPr>
          <w:sz w:val="24"/>
          <w:szCs w:val="24"/>
          <w:u w:val="single"/>
        </w:rPr>
        <w:t>4</w:t>
      </w:r>
      <w:r w:rsidRPr="00BE5AFE">
        <w:rPr>
          <w:sz w:val="24"/>
          <w:szCs w:val="24"/>
        </w:rPr>
        <w:t>.</w:t>
      </w:r>
    </w:p>
    <w:p w14:paraId="72EACB7C" w14:textId="762BB5B6" w:rsidR="00BE5AFE" w:rsidRPr="00BE5AFE" w:rsidRDefault="00BE5AFE" w:rsidP="00BE5AFE">
      <w:pPr>
        <w:ind w:firstLine="720"/>
        <w:jc w:val="both"/>
        <w:rPr>
          <w:b/>
          <w:sz w:val="24"/>
          <w:szCs w:val="24"/>
          <w:u w:val="single"/>
        </w:rPr>
      </w:pPr>
      <w:r w:rsidRPr="00BE5AFE">
        <w:rPr>
          <w:sz w:val="24"/>
          <w:szCs w:val="24"/>
        </w:rPr>
        <w:t xml:space="preserve">DONE THE SECOND READING, AND ADOPTED ON FINAL PASSAGE, by an affirmative vote of a majority of a quorum present of the City Commission of the City of Newberry, Florida, at a regular meeting, this  </w:t>
      </w:r>
      <w:r w:rsidR="000206F5" w:rsidRPr="00BE5AFE">
        <w:rPr>
          <w:sz w:val="24"/>
          <w:szCs w:val="24"/>
        </w:rPr>
        <w:t xml:space="preserve">__day of </w:t>
      </w:r>
      <w:r w:rsidR="000206F5" w:rsidRPr="00BE5AFE">
        <w:rPr>
          <w:sz w:val="24"/>
          <w:szCs w:val="24"/>
          <w:u w:val="single"/>
        </w:rPr>
        <w:tab/>
        <w:t xml:space="preserve">     </w:t>
      </w:r>
      <w:r w:rsidR="000206F5" w:rsidRPr="00BE5AFE">
        <w:rPr>
          <w:sz w:val="24"/>
          <w:szCs w:val="24"/>
        </w:rPr>
        <w:t>, 20</w:t>
      </w:r>
      <w:r w:rsidR="000206F5" w:rsidRPr="00460041">
        <w:rPr>
          <w:sz w:val="24"/>
          <w:szCs w:val="24"/>
          <w:u w:val="single"/>
        </w:rPr>
        <w:t>2</w:t>
      </w:r>
      <w:r w:rsidR="0040549B">
        <w:rPr>
          <w:sz w:val="24"/>
          <w:szCs w:val="24"/>
          <w:u w:val="single"/>
        </w:rPr>
        <w:t>4</w:t>
      </w:r>
      <w:r w:rsidRPr="00E57802">
        <w:rPr>
          <w:sz w:val="24"/>
          <w:szCs w:val="24"/>
        </w:rPr>
        <w:t>.</w:t>
      </w:r>
    </w:p>
    <w:p w14:paraId="348D4E2E" w14:textId="77777777" w:rsidR="00BE5AFE" w:rsidRPr="00BE5AFE" w:rsidRDefault="00BE5AFE" w:rsidP="00BE5AFE">
      <w:pPr>
        <w:ind w:firstLine="720"/>
        <w:jc w:val="both"/>
        <w:rPr>
          <w:b/>
          <w:sz w:val="24"/>
          <w:szCs w:val="24"/>
        </w:rPr>
      </w:pPr>
    </w:p>
    <w:p w14:paraId="2BFD178C" w14:textId="77777777" w:rsidR="00BE5AFE" w:rsidRPr="00BE5AFE" w:rsidRDefault="00BE5AFE" w:rsidP="00BE5AFE">
      <w:pPr>
        <w:jc w:val="both"/>
        <w:rPr>
          <w:sz w:val="24"/>
          <w:szCs w:val="24"/>
        </w:rPr>
      </w:pPr>
    </w:p>
    <w:p w14:paraId="3BB855F4" w14:textId="77777777" w:rsidR="00BE5AFE" w:rsidRPr="00BE5AFE" w:rsidRDefault="00BE5AFE" w:rsidP="00BE5AFE">
      <w:pPr>
        <w:jc w:val="both"/>
        <w:rPr>
          <w:sz w:val="24"/>
          <w:szCs w:val="24"/>
        </w:rPr>
      </w:pPr>
    </w:p>
    <w:p w14:paraId="29C645F0" w14:textId="77777777" w:rsidR="00BE5AFE" w:rsidRPr="00BE5AFE" w:rsidRDefault="00BE5AFE" w:rsidP="00BE5AFE">
      <w:pPr>
        <w:tabs>
          <w:tab w:val="left" w:pos="-1080"/>
        </w:tabs>
        <w:ind w:left="4320"/>
        <w:rPr>
          <w:b/>
          <w:sz w:val="24"/>
          <w:szCs w:val="24"/>
        </w:rPr>
      </w:pPr>
      <w:r w:rsidRPr="00BE5AFE">
        <w:rPr>
          <w:sz w:val="24"/>
          <w:szCs w:val="24"/>
        </w:rPr>
        <w:t>BY THE MAYOR OF THE CITY OF NEWBERRY, FLORIDA</w:t>
      </w:r>
    </w:p>
    <w:p w14:paraId="3675C8ED" w14:textId="77777777" w:rsidR="00BE5AFE" w:rsidRPr="00BE5AFE" w:rsidRDefault="00BE5AFE" w:rsidP="00BE5AFE">
      <w:pPr>
        <w:tabs>
          <w:tab w:val="right" w:pos="4320"/>
          <w:tab w:val="left" w:pos="5040"/>
          <w:tab w:val="right" w:pos="9360"/>
        </w:tabs>
        <w:ind w:left="5040" w:hanging="5040"/>
        <w:rPr>
          <w:b/>
          <w:sz w:val="24"/>
          <w:szCs w:val="24"/>
        </w:rPr>
      </w:pPr>
      <w:r w:rsidRPr="00BE5AFE">
        <w:rPr>
          <w:sz w:val="24"/>
          <w:szCs w:val="24"/>
        </w:rPr>
        <w:tab/>
      </w:r>
      <w:r w:rsidRPr="00BE5AFE">
        <w:rPr>
          <w:sz w:val="24"/>
          <w:szCs w:val="24"/>
        </w:rPr>
        <w:tab/>
        <w:t xml:space="preserve"> </w:t>
      </w:r>
    </w:p>
    <w:p w14:paraId="5FAA038A" w14:textId="77777777" w:rsidR="00BE5AFE" w:rsidRPr="00BE5AFE" w:rsidRDefault="00BE5AFE" w:rsidP="00BE5AFE">
      <w:pPr>
        <w:tabs>
          <w:tab w:val="left" w:pos="-90"/>
          <w:tab w:val="left" w:pos="0"/>
        </w:tabs>
        <w:rPr>
          <w:b/>
          <w:sz w:val="24"/>
          <w:szCs w:val="24"/>
        </w:rPr>
      </w:pP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p>
    <w:p w14:paraId="18569E00" w14:textId="77777777" w:rsidR="00BE5AFE" w:rsidRPr="00BE5AFE" w:rsidRDefault="00BE5AFE" w:rsidP="00BE5AFE">
      <w:pPr>
        <w:tabs>
          <w:tab w:val="left" w:pos="-90"/>
          <w:tab w:val="left" w:pos="0"/>
        </w:tabs>
        <w:rPr>
          <w:b/>
          <w:sz w:val="24"/>
          <w:szCs w:val="24"/>
        </w:rPr>
      </w:pP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t>____________________________________</w:t>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t>Honorable Jordan Marlowe, Mayor</w:t>
      </w:r>
    </w:p>
    <w:p w14:paraId="4DF829CF" w14:textId="77777777" w:rsidR="00BE5AFE" w:rsidRPr="00BE5AFE" w:rsidRDefault="00BE5AFE" w:rsidP="00BE5AFE">
      <w:pPr>
        <w:tabs>
          <w:tab w:val="left" w:pos="-90"/>
          <w:tab w:val="left" w:pos="0"/>
        </w:tabs>
        <w:rPr>
          <w:b/>
          <w:sz w:val="24"/>
          <w:szCs w:val="24"/>
        </w:rPr>
      </w:pPr>
    </w:p>
    <w:p w14:paraId="4468D2CD" w14:textId="77777777" w:rsidR="00BE5AFE" w:rsidRPr="00BE5AFE" w:rsidRDefault="00BE5AFE" w:rsidP="00BE5AFE">
      <w:pPr>
        <w:tabs>
          <w:tab w:val="left" w:pos="-90"/>
          <w:tab w:val="left" w:pos="0"/>
        </w:tabs>
        <w:rPr>
          <w:b/>
          <w:sz w:val="24"/>
          <w:szCs w:val="24"/>
        </w:rPr>
      </w:pP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r w:rsidRPr="00BE5AFE">
        <w:rPr>
          <w:sz w:val="24"/>
          <w:szCs w:val="24"/>
        </w:rPr>
        <w:tab/>
      </w:r>
    </w:p>
    <w:p w14:paraId="046BCBD5" w14:textId="77777777" w:rsidR="00BE5AFE" w:rsidRPr="00BE5AFE" w:rsidRDefault="00BE5AFE" w:rsidP="00BE5AFE">
      <w:pPr>
        <w:tabs>
          <w:tab w:val="left" w:pos="-90"/>
          <w:tab w:val="left" w:pos="0"/>
        </w:tabs>
        <w:rPr>
          <w:b/>
          <w:sz w:val="24"/>
          <w:szCs w:val="24"/>
        </w:rPr>
      </w:pPr>
      <w:r w:rsidRPr="00BE5AFE">
        <w:rPr>
          <w:sz w:val="24"/>
          <w:szCs w:val="24"/>
        </w:rPr>
        <w:t>ATTEST, BY THE CLERK OF THE</w:t>
      </w:r>
    </w:p>
    <w:p w14:paraId="36775730" w14:textId="77777777" w:rsidR="00BE5AFE" w:rsidRPr="00BE5AFE" w:rsidRDefault="00BE5AFE" w:rsidP="00BE5AFE">
      <w:pPr>
        <w:tabs>
          <w:tab w:val="left" w:pos="-90"/>
          <w:tab w:val="left" w:pos="0"/>
        </w:tabs>
        <w:rPr>
          <w:b/>
          <w:sz w:val="24"/>
          <w:szCs w:val="24"/>
        </w:rPr>
      </w:pPr>
      <w:r w:rsidRPr="00BE5AFE">
        <w:rPr>
          <w:sz w:val="24"/>
          <w:szCs w:val="24"/>
        </w:rPr>
        <w:t>CITY COMMISSION OF THE CITY OF</w:t>
      </w:r>
    </w:p>
    <w:p w14:paraId="1B5897BE" w14:textId="77777777" w:rsidR="00BE5AFE" w:rsidRPr="00BE5AFE" w:rsidRDefault="00BE5AFE" w:rsidP="00BE5AFE">
      <w:pPr>
        <w:tabs>
          <w:tab w:val="left" w:pos="-90"/>
          <w:tab w:val="left" w:pos="0"/>
        </w:tabs>
        <w:rPr>
          <w:b/>
          <w:sz w:val="24"/>
          <w:szCs w:val="24"/>
        </w:rPr>
      </w:pPr>
      <w:r w:rsidRPr="00BE5AFE">
        <w:rPr>
          <w:sz w:val="24"/>
          <w:szCs w:val="24"/>
        </w:rPr>
        <w:t>NEWBERRY, FLORIDA:</w:t>
      </w:r>
    </w:p>
    <w:p w14:paraId="30C21C8E" w14:textId="77777777" w:rsidR="00BE5AFE" w:rsidRPr="00BE5AFE" w:rsidRDefault="00BE5AFE" w:rsidP="00BE5AFE">
      <w:pPr>
        <w:tabs>
          <w:tab w:val="left" w:pos="-90"/>
          <w:tab w:val="left" w:pos="0"/>
        </w:tabs>
        <w:rPr>
          <w:b/>
          <w:sz w:val="24"/>
          <w:szCs w:val="24"/>
        </w:rPr>
      </w:pPr>
    </w:p>
    <w:p w14:paraId="21CE46D5" w14:textId="77777777" w:rsidR="00BE5AFE" w:rsidRPr="00BE5AFE" w:rsidRDefault="00BE5AFE" w:rsidP="000206F5">
      <w:pPr>
        <w:tabs>
          <w:tab w:val="left" w:pos="-90"/>
          <w:tab w:val="left" w:pos="0"/>
          <w:tab w:val="left" w:pos="4320"/>
        </w:tabs>
        <w:rPr>
          <w:b/>
          <w:sz w:val="24"/>
          <w:szCs w:val="24"/>
        </w:rPr>
      </w:pPr>
    </w:p>
    <w:p w14:paraId="01802BA8" w14:textId="77777777" w:rsidR="00BE5AFE" w:rsidRPr="00BE5AFE" w:rsidRDefault="00BE5AFE" w:rsidP="00BE5AFE">
      <w:pPr>
        <w:tabs>
          <w:tab w:val="left" w:pos="-90"/>
          <w:tab w:val="left" w:pos="0"/>
        </w:tabs>
        <w:rPr>
          <w:b/>
          <w:sz w:val="24"/>
          <w:szCs w:val="24"/>
        </w:rPr>
      </w:pPr>
      <w:r w:rsidRPr="00F04C35">
        <w:rPr>
          <w:sz w:val="24"/>
          <w:szCs w:val="24"/>
          <w:u w:val="single"/>
        </w:rPr>
        <w:t>____________________________</w:t>
      </w:r>
      <w:r w:rsidRPr="00BE5AFE">
        <w:rPr>
          <w:sz w:val="24"/>
          <w:szCs w:val="24"/>
        </w:rPr>
        <w:tab/>
      </w:r>
    </w:p>
    <w:p w14:paraId="2D176A14" w14:textId="77777777" w:rsidR="00BE5AFE" w:rsidRPr="00BE5AFE" w:rsidRDefault="00BE5AFE" w:rsidP="00BE5AFE">
      <w:pPr>
        <w:rPr>
          <w:b/>
          <w:sz w:val="24"/>
          <w:szCs w:val="24"/>
        </w:rPr>
      </w:pPr>
      <w:r w:rsidRPr="00BE5AFE">
        <w:rPr>
          <w:sz w:val="24"/>
          <w:szCs w:val="24"/>
        </w:rPr>
        <w:t>Judy S. Rice, City Clerk</w:t>
      </w:r>
    </w:p>
    <w:p w14:paraId="764D54E2" w14:textId="77777777" w:rsidR="00BE5AFE" w:rsidRPr="00BE5AFE" w:rsidRDefault="00BE5AFE" w:rsidP="00BE5AFE">
      <w:pPr>
        <w:rPr>
          <w:b/>
          <w:sz w:val="24"/>
          <w:szCs w:val="24"/>
        </w:rPr>
      </w:pPr>
    </w:p>
    <w:p w14:paraId="0FBE62B8" w14:textId="77777777" w:rsidR="00BE5AFE" w:rsidRPr="00BE5AFE" w:rsidRDefault="00BE5AFE" w:rsidP="00BE5AFE">
      <w:pPr>
        <w:rPr>
          <w:b/>
          <w:sz w:val="24"/>
          <w:szCs w:val="24"/>
        </w:rPr>
      </w:pPr>
    </w:p>
    <w:p w14:paraId="15DDEB69" w14:textId="77777777" w:rsidR="00BE5AFE" w:rsidRPr="00BE5AFE" w:rsidRDefault="00BE5AFE" w:rsidP="00BE5AFE">
      <w:pPr>
        <w:jc w:val="both"/>
        <w:rPr>
          <w:b/>
          <w:sz w:val="24"/>
          <w:szCs w:val="24"/>
        </w:rPr>
      </w:pPr>
      <w:r w:rsidRPr="00BE5AFE">
        <w:rPr>
          <w:sz w:val="24"/>
          <w:szCs w:val="24"/>
        </w:rPr>
        <w:t xml:space="preserve">APPROVED AS TO FORM AND </w:t>
      </w:r>
    </w:p>
    <w:p w14:paraId="7D9CE851" w14:textId="77777777" w:rsidR="00BE5AFE" w:rsidRPr="00BE5AFE" w:rsidRDefault="00BE5AFE" w:rsidP="00BE5AFE">
      <w:pPr>
        <w:jc w:val="both"/>
        <w:rPr>
          <w:b/>
          <w:sz w:val="24"/>
          <w:szCs w:val="24"/>
        </w:rPr>
      </w:pPr>
      <w:r w:rsidRPr="00BE5AFE">
        <w:rPr>
          <w:sz w:val="24"/>
          <w:szCs w:val="24"/>
        </w:rPr>
        <w:t>LEGALITY:</w:t>
      </w:r>
    </w:p>
    <w:p w14:paraId="07896F14" w14:textId="77777777" w:rsidR="00BE5AFE" w:rsidRPr="00BE5AFE" w:rsidRDefault="00BE5AFE" w:rsidP="00BE5AFE">
      <w:pPr>
        <w:rPr>
          <w:b/>
          <w:sz w:val="24"/>
          <w:szCs w:val="24"/>
        </w:rPr>
      </w:pPr>
    </w:p>
    <w:p w14:paraId="3E770B49" w14:textId="77777777" w:rsidR="00BE5AFE" w:rsidRPr="00BE5AFE" w:rsidRDefault="00BE5AFE" w:rsidP="00BE5AFE">
      <w:pPr>
        <w:rPr>
          <w:b/>
          <w:sz w:val="24"/>
          <w:szCs w:val="24"/>
        </w:rPr>
      </w:pPr>
    </w:p>
    <w:p w14:paraId="77F8D21F" w14:textId="77777777" w:rsidR="00BE5AFE" w:rsidRPr="00F04C35" w:rsidRDefault="00BE5AFE" w:rsidP="00BE5AFE">
      <w:pPr>
        <w:rPr>
          <w:b/>
          <w:sz w:val="24"/>
          <w:szCs w:val="24"/>
          <w:u w:val="single"/>
        </w:rPr>
      </w:pPr>
      <w:r w:rsidRPr="00F04C35">
        <w:rPr>
          <w:sz w:val="24"/>
          <w:szCs w:val="24"/>
          <w:u w:val="single"/>
        </w:rPr>
        <w:t>____________________________</w:t>
      </w:r>
    </w:p>
    <w:p w14:paraId="1FA1F0F7" w14:textId="77777777" w:rsidR="00BE5AFE" w:rsidRPr="00BE5AFE" w:rsidRDefault="00BE5AFE" w:rsidP="00BE5AFE">
      <w:pPr>
        <w:rPr>
          <w:b/>
          <w:sz w:val="24"/>
          <w:szCs w:val="24"/>
        </w:rPr>
      </w:pPr>
      <w:r w:rsidRPr="00BE5AFE">
        <w:rPr>
          <w:sz w:val="24"/>
          <w:szCs w:val="24"/>
        </w:rPr>
        <w:t>City Attorney’s Office</w:t>
      </w:r>
    </w:p>
    <w:p w14:paraId="22A5F765" w14:textId="77777777" w:rsidR="00BE5AFE" w:rsidRPr="00BE5AFE" w:rsidRDefault="00BE5AFE" w:rsidP="00BE5AFE">
      <w:pPr>
        <w:rPr>
          <w:sz w:val="24"/>
          <w:szCs w:val="24"/>
        </w:rPr>
      </w:pPr>
    </w:p>
    <w:p w14:paraId="541091FE" w14:textId="77777777" w:rsidR="00BE5AFE" w:rsidRPr="00BE5AFE" w:rsidRDefault="00BE5AFE" w:rsidP="00BE5AFE">
      <w:pPr>
        <w:tabs>
          <w:tab w:val="right" w:pos="4320"/>
          <w:tab w:val="left" w:pos="5040"/>
          <w:tab w:val="right" w:pos="9360"/>
        </w:tabs>
        <w:ind w:left="5040" w:hanging="5040"/>
        <w:rPr>
          <w:sz w:val="24"/>
          <w:szCs w:val="24"/>
        </w:rPr>
      </w:pPr>
    </w:p>
    <w:p w14:paraId="1ABD8EDF" w14:textId="77777777" w:rsidR="00BE5AFE" w:rsidRPr="00BE5AFE" w:rsidRDefault="00BE5AFE" w:rsidP="00BE5AFE">
      <w:pPr>
        <w:tabs>
          <w:tab w:val="right" w:pos="4320"/>
          <w:tab w:val="left" w:pos="5040"/>
          <w:tab w:val="right" w:pos="9360"/>
        </w:tabs>
        <w:ind w:left="5040" w:hanging="5040"/>
        <w:rPr>
          <w:sz w:val="24"/>
          <w:szCs w:val="24"/>
        </w:rPr>
      </w:pPr>
    </w:p>
    <w:p w14:paraId="6C010A00" w14:textId="77777777" w:rsidR="005358F8" w:rsidRDefault="00BE5AFE" w:rsidP="00C6450E">
      <w:pPr>
        <w:rPr>
          <w:sz w:val="24"/>
          <w:szCs w:val="24"/>
        </w:rPr>
      </w:pPr>
      <w:r w:rsidRPr="00BE5AFE">
        <w:rPr>
          <w:sz w:val="24"/>
          <w:szCs w:val="24"/>
        </w:rPr>
        <w:t>Attachments (</w:t>
      </w:r>
      <w:r w:rsidR="00DF5E06">
        <w:rPr>
          <w:sz w:val="24"/>
          <w:szCs w:val="24"/>
        </w:rPr>
        <w:t>2</w:t>
      </w:r>
      <w:r w:rsidRPr="00BE5AFE">
        <w:rPr>
          <w:sz w:val="24"/>
          <w:szCs w:val="24"/>
        </w:rPr>
        <w:t xml:space="preserve">): </w:t>
      </w:r>
      <w:r w:rsidR="00C6450E">
        <w:rPr>
          <w:sz w:val="24"/>
          <w:szCs w:val="24"/>
        </w:rPr>
        <w:tab/>
      </w:r>
      <w:r w:rsidR="005358F8">
        <w:rPr>
          <w:sz w:val="24"/>
          <w:szCs w:val="24"/>
        </w:rPr>
        <w:t>Exhibit</w:t>
      </w:r>
      <w:r w:rsidRPr="00BE5AFE">
        <w:rPr>
          <w:sz w:val="24"/>
          <w:szCs w:val="24"/>
        </w:rPr>
        <w:t xml:space="preserve"> A – </w:t>
      </w:r>
      <w:r w:rsidR="005358F8">
        <w:rPr>
          <w:sz w:val="24"/>
          <w:szCs w:val="24"/>
        </w:rPr>
        <w:t>Legal Description</w:t>
      </w:r>
    </w:p>
    <w:p w14:paraId="751ED36E" w14:textId="14DFD90D" w:rsidR="00BE5AFE" w:rsidRPr="00BE5AFE" w:rsidRDefault="005358F8" w:rsidP="005358F8">
      <w:pPr>
        <w:ind w:left="1440" w:firstLine="720"/>
        <w:rPr>
          <w:sz w:val="24"/>
          <w:szCs w:val="24"/>
        </w:rPr>
      </w:pPr>
      <w:r>
        <w:rPr>
          <w:sz w:val="24"/>
          <w:szCs w:val="24"/>
        </w:rPr>
        <w:t xml:space="preserve">Exhibit B </w:t>
      </w:r>
      <w:r w:rsidRPr="00BE5AFE">
        <w:rPr>
          <w:sz w:val="24"/>
          <w:szCs w:val="24"/>
        </w:rPr>
        <w:t>–</w:t>
      </w:r>
      <w:r>
        <w:rPr>
          <w:sz w:val="24"/>
          <w:szCs w:val="24"/>
        </w:rPr>
        <w:t xml:space="preserve"> </w:t>
      </w:r>
      <w:r w:rsidR="00BE5AFE" w:rsidRPr="00BE5AFE">
        <w:rPr>
          <w:sz w:val="24"/>
          <w:szCs w:val="24"/>
        </w:rPr>
        <w:t>Preliminary Development Plan</w:t>
      </w:r>
    </w:p>
    <w:p w14:paraId="3AA21BAC" w14:textId="6AA9E351" w:rsidR="00BE5AFE" w:rsidRPr="00BE5AFE" w:rsidRDefault="00C6450E" w:rsidP="00C6450E">
      <w:pPr>
        <w:tabs>
          <w:tab w:val="left" w:pos="2160"/>
          <w:tab w:val="right" w:pos="9360"/>
        </w:tabs>
        <w:rPr>
          <w:sz w:val="24"/>
          <w:szCs w:val="24"/>
        </w:rPr>
      </w:pPr>
      <w:r>
        <w:rPr>
          <w:sz w:val="24"/>
          <w:szCs w:val="24"/>
        </w:rPr>
        <w:tab/>
      </w:r>
      <w:r w:rsidR="005358F8">
        <w:rPr>
          <w:sz w:val="24"/>
          <w:szCs w:val="24"/>
        </w:rPr>
        <w:t xml:space="preserve">Exhibit C </w:t>
      </w:r>
      <w:r w:rsidR="005358F8" w:rsidRPr="00BE5AFE">
        <w:rPr>
          <w:sz w:val="24"/>
          <w:szCs w:val="24"/>
        </w:rPr>
        <w:t>–</w:t>
      </w:r>
      <w:r w:rsidR="004D53F1">
        <w:rPr>
          <w:sz w:val="24"/>
          <w:szCs w:val="24"/>
        </w:rPr>
        <w:t xml:space="preserve"> </w:t>
      </w:r>
      <w:r w:rsidR="00BE5AFE" w:rsidRPr="00D3529C">
        <w:rPr>
          <w:sz w:val="24"/>
          <w:szCs w:val="24"/>
        </w:rPr>
        <w:t>Development Order</w:t>
      </w:r>
    </w:p>
    <w:p w14:paraId="780C60EF" w14:textId="5B3CBA1D" w:rsidR="00BE5AFE" w:rsidRDefault="00C6450E" w:rsidP="00C6450E">
      <w:pPr>
        <w:tabs>
          <w:tab w:val="left" w:pos="2160"/>
        </w:tabs>
        <w:rPr>
          <w:sz w:val="24"/>
          <w:szCs w:val="24"/>
        </w:rPr>
      </w:pPr>
      <w:r>
        <w:rPr>
          <w:sz w:val="24"/>
          <w:szCs w:val="24"/>
        </w:rPr>
        <w:tab/>
      </w:r>
    </w:p>
    <w:p w14:paraId="07049B4B" w14:textId="0B2F53DD" w:rsidR="008A51C8" w:rsidRDefault="008A51C8">
      <w:pPr>
        <w:autoSpaceDE/>
        <w:autoSpaceDN/>
        <w:adjustRightInd/>
        <w:rPr>
          <w:b/>
          <w:sz w:val="24"/>
          <w:szCs w:val="24"/>
        </w:rPr>
      </w:pPr>
      <w:r>
        <w:rPr>
          <w:b/>
          <w:sz w:val="24"/>
          <w:szCs w:val="24"/>
        </w:rPr>
        <w:br w:type="page"/>
      </w:r>
    </w:p>
    <w:p w14:paraId="6C1CAA84" w14:textId="1EF9701A" w:rsidR="00460041" w:rsidRDefault="000F3938" w:rsidP="000427D5">
      <w:pPr>
        <w:jc w:val="center"/>
        <w:rPr>
          <w:b/>
          <w:sz w:val="24"/>
          <w:szCs w:val="24"/>
        </w:rPr>
      </w:pPr>
      <w:r>
        <w:rPr>
          <w:b/>
          <w:sz w:val="24"/>
          <w:szCs w:val="24"/>
        </w:rPr>
        <w:lastRenderedPageBreak/>
        <w:t xml:space="preserve">EXHIBIT </w:t>
      </w:r>
      <w:r w:rsidR="005358F8">
        <w:rPr>
          <w:b/>
          <w:sz w:val="24"/>
          <w:szCs w:val="24"/>
        </w:rPr>
        <w:t>A</w:t>
      </w:r>
    </w:p>
    <w:p w14:paraId="1BA7BFFE" w14:textId="11C512C9" w:rsidR="005358F8" w:rsidRDefault="005358F8" w:rsidP="000427D5">
      <w:pPr>
        <w:jc w:val="center"/>
        <w:rPr>
          <w:b/>
          <w:sz w:val="24"/>
          <w:szCs w:val="24"/>
        </w:rPr>
      </w:pPr>
      <w:r>
        <w:rPr>
          <w:b/>
          <w:sz w:val="24"/>
          <w:szCs w:val="24"/>
        </w:rPr>
        <w:t>LEGAL DESCRIPTION</w:t>
      </w:r>
    </w:p>
    <w:p w14:paraId="0EADA232" w14:textId="77777777" w:rsidR="005358F8" w:rsidRDefault="005358F8" w:rsidP="000427D5">
      <w:pPr>
        <w:jc w:val="center"/>
        <w:rPr>
          <w:b/>
          <w:sz w:val="24"/>
          <w:szCs w:val="24"/>
        </w:rPr>
      </w:pPr>
    </w:p>
    <w:p w14:paraId="1E1AE84B" w14:textId="77777777" w:rsidR="001A3A37" w:rsidRDefault="001A3A37" w:rsidP="0040549B">
      <w:pPr>
        <w:jc w:val="both"/>
        <w:rPr>
          <w:rFonts w:ascii="Arial" w:hAnsi="Arial" w:cs="Arial"/>
        </w:rPr>
      </w:pPr>
      <w:r>
        <w:rPr>
          <w:rFonts w:ascii="Arial" w:hAnsi="Arial" w:cs="Arial"/>
        </w:rPr>
        <w:t>TAX PARCEL NOS. 01822-000-000 AND 01822-005-000 (E.D. NORFLEET &amp; SONS, INC., AND NORFLEET PROPERTIES, LLLP, RESPECTIVELY)</w:t>
      </w:r>
    </w:p>
    <w:p w14:paraId="094E593F" w14:textId="77777777" w:rsidR="001A3A37" w:rsidRDefault="001A3A37" w:rsidP="0040549B">
      <w:pPr>
        <w:jc w:val="both"/>
        <w:rPr>
          <w:rFonts w:ascii="Arial" w:hAnsi="Arial" w:cs="Arial"/>
        </w:rPr>
      </w:pPr>
    </w:p>
    <w:p w14:paraId="1DC26AC1" w14:textId="77777777" w:rsidR="001A3A37" w:rsidRDefault="001A3A37" w:rsidP="0040549B">
      <w:pPr>
        <w:jc w:val="both"/>
        <w:rPr>
          <w:rFonts w:ascii="Arial" w:hAnsi="Arial" w:cs="Arial"/>
          <w:szCs w:val="24"/>
        </w:rPr>
      </w:pPr>
      <w:r>
        <w:rPr>
          <w:rFonts w:ascii="Arial" w:hAnsi="Arial" w:cs="Arial"/>
          <w:szCs w:val="24"/>
        </w:rPr>
        <w:t>A tract of land situated in Section 16, Township 9 South, Range 17 East, Alachua County, Florida, being more particularly described as follows:</w:t>
      </w:r>
    </w:p>
    <w:p w14:paraId="46862FAD" w14:textId="77777777" w:rsidR="001A3A37" w:rsidRDefault="001A3A37" w:rsidP="0040549B">
      <w:pPr>
        <w:tabs>
          <w:tab w:val="left" w:pos="2340"/>
        </w:tabs>
        <w:spacing w:line="240" w:lineRule="exact"/>
        <w:jc w:val="both"/>
        <w:rPr>
          <w:rFonts w:ascii="Arial" w:hAnsi="Arial" w:cs="Arial"/>
          <w:caps/>
          <w:szCs w:val="22"/>
        </w:rPr>
      </w:pPr>
      <w:r>
        <w:rPr>
          <w:rFonts w:ascii="Arial" w:hAnsi="Arial" w:cs="Arial"/>
          <w:caps/>
          <w:szCs w:val="24"/>
        </w:rPr>
        <w:t>Commence at a 4" square concrete monument at the Southeast corner of the aforementioned Section 16, Township 9 South, Range 17 East and run N.00°26'00"W., along the East line of said Section 16, a distance of 40.00 feet to the North right of way line of N. W. 46th Avenue (80 foot wide right of way) and the POINT OF BEGINNING; thence run S.88°30'31"W., along said North right of way line, a distance of 1585.57 feet to a 5/8" iron rod and cap stamped LB6894; thence, departing said North right of way line, run N.00°35'51"W., a distance of 465.00 feet to a 5/8" iron rod and cap stamped LB6894; thence run N.88°30'31"E., parallel with said North right of way line, a distance of  275.18 feet to the intersection with the West line of the East Half of the Southeast Quarter (E 1/2 of SE 1/4) of said Section 16; thence run N.00°30'25"W., along said West line, a distance of 2133.79 feet to the Northwest corner of said E 1/2 of the SE 1/4; thence run N.88°04'15"E., along the North line of said SE 1/4, a distance of 695.33 feet to the Northwest corner of lands described in Official Records Book 4139, page 1531 of the Public Records of Alachua County, Florida; thence S.01°05'00"E., along the West line of said lands, a distance of 294.15 feet to the Southwest corner thereof; thence N.88°09'34"E., along the South line of said lands, a distance of 296.07 feet to the Southwest corner of  the land described in Official Records Book 2223, page 282 of the Public Records of Alachua County, Florida; thence N.88°09'27"E., along the South line of said lands, a distance of 295.12 feet to a 5/8" iron rod and cap stamped LS4929 on the West right of way line of State Road No. 45 (184 foot wide right of way); thence run S.01°06'44"E., along said West right of way line, a distance of 541.33 feet to a 5/8" iron rod and cap stamped LB6894; thence, departing said West right of way line, run S.88°01'31"W., a distance of 440.00 feet to a 5/8" iron rod and cap stamped LB6894; thence run S.01°06'44"E., a distance of 499.88 feet to a 5/8" iron rod and cap stamped LB6894; thence run N.88°01'31"E., a distance of 440.00 feet to a 5/8" iron rod and cap stamped LB6894 on said West right of way line; thence run S.01°06'44"E., along said West right of way line, a distance of 1051.33 feet to a 5/8" iron rod and cap stamped LB6894 at the intersection with the aforementioned East line of Section 16; thence, departing said West right of way line, run S.00°26'00"E., along said East line of Section 16, a distance of 220.83 feet to the POINT OF BEGINNING.</w:t>
      </w:r>
    </w:p>
    <w:p w14:paraId="24DFD737" w14:textId="77777777" w:rsidR="001A3A37" w:rsidRDefault="001A3A37" w:rsidP="0040549B">
      <w:pPr>
        <w:jc w:val="both"/>
        <w:rPr>
          <w:rFonts w:ascii="Arial" w:hAnsi="Arial" w:cs="Arial"/>
          <w:sz w:val="22"/>
        </w:rPr>
      </w:pPr>
    </w:p>
    <w:p w14:paraId="3A502AE1" w14:textId="77777777" w:rsidR="001A3A37" w:rsidRDefault="001A3A37" w:rsidP="0040549B">
      <w:pPr>
        <w:jc w:val="both"/>
        <w:rPr>
          <w:rFonts w:ascii="Arial" w:hAnsi="Arial" w:cs="Arial"/>
        </w:rPr>
      </w:pPr>
      <w:r>
        <w:rPr>
          <w:rFonts w:ascii="Arial" w:hAnsi="Arial" w:cs="Arial"/>
        </w:rPr>
        <w:t>TAX PARCEL NO. 01838-000-000 (E.D. NORFLEET &amp; PHYLLIS G. NORFLEET)</w:t>
      </w:r>
    </w:p>
    <w:p w14:paraId="3089C1AC" w14:textId="77777777" w:rsidR="001A3A37" w:rsidRDefault="001A3A37" w:rsidP="0040549B">
      <w:pPr>
        <w:jc w:val="both"/>
        <w:rPr>
          <w:rFonts w:ascii="Arial" w:hAnsi="Arial" w:cs="Arial"/>
        </w:rPr>
      </w:pPr>
      <w:r>
        <w:rPr>
          <w:rFonts w:ascii="Arial" w:hAnsi="Arial" w:cs="Arial"/>
        </w:rPr>
        <w:t>PART OF ORB 1278, PAGE 955</w:t>
      </w:r>
    </w:p>
    <w:p w14:paraId="2FD7A559" w14:textId="77777777" w:rsidR="001A3A37" w:rsidRDefault="001A3A37" w:rsidP="0040549B">
      <w:pPr>
        <w:jc w:val="both"/>
        <w:rPr>
          <w:rFonts w:ascii="Arial" w:hAnsi="Arial" w:cs="Arial"/>
        </w:rPr>
      </w:pPr>
      <w:r>
        <w:rPr>
          <w:rFonts w:ascii="Arial" w:hAnsi="Arial" w:cs="Arial"/>
        </w:rPr>
        <w:t>The E 1/2 of the NE 1/4 and the E 1/4 of the W 1/2 of the NE 1/4 in Sec. 20, T9S, R17E, subject to rights-of-way, easements and reservations of record or otherwise.</w:t>
      </w:r>
    </w:p>
    <w:p w14:paraId="7EEF1434" w14:textId="77777777" w:rsidR="001A3A37" w:rsidRDefault="001A3A37" w:rsidP="0040549B">
      <w:pPr>
        <w:jc w:val="both"/>
        <w:rPr>
          <w:rFonts w:ascii="Arial" w:hAnsi="Arial" w:cs="Arial"/>
        </w:rPr>
      </w:pPr>
    </w:p>
    <w:p w14:paraId="34E71D08" w14:textId="77777777" w:rsidR="001A3A37" w:rsidRDefault="001A3A37" w:rsidP="0040549B">
      <w:pPr>
        <w:jc w:val="both"/>
        <w:rPr>
          <w:rFonts w:ascii="Arial" w:hAnsi="Arial" w:cs="Arial"/>
        </w:rPr>
      </w:pPr>
      <w:r>
        <w:rPr>
          <w:rFonts w:ascii="Arial" w:hAnsi="Arial" w:cs="Arial"/>
        </w:rPr>
        <w:t>TAX PARCEL NO. 01844-000-000 (E.D. NORFLEET &amp; PHYLLIS G. NORFLEET)</w:t>
      </w:r>
    </w:p>
    <w:p w14:paraId="2151856A" w14:textId="77777777" w:rsidR="001A3A37" w:rsidRDefault="001A3A37" w:rsidP="0040549B">
      <w:pPr>
        <w:jc w:val="both"/>
        <w:rPr>
          <w:rFonts w:ascii="Arial" w:hAnsi="Arial" w:cs="Arial"/>
        </w:rPr>
      </w:pPr>
      <w:r>
        <w:rPr>
          <w:rFonts w:ascii="Arial" w:hAnsi="Arial" w:cs="Arial"/>
        </w:rPr>
        <w:t>PART OF ORB 1278, PAGE 955</w:t>
      </w:r>
    </w:p>
    <w:p w14:paraId="4F77EE40" w14:textId="77777777" w:rsidR="001A3A37" w:rsidRDefault="001A3A37" w:rsidP="0040549B">
      <w:pPr>
        <w:jc w:val="both"/>
        <w:rPr>
          <w:rFonts w:ascii="Arial" w:hAnsi="Arial" w:cs="Arial"/>
        </w:rPr>
      </w:pPr>
      <w:r>
        <w:rPr>
          <w:rFonts w:ascii="Arial" w:hAnsi="Arial" w:cs="Arial"/>
        </w:rPr>
        <w:t>All of Sec. 21, T9S, R17E, LESS the S 1/2 of the SE 1/4, railroad rights-of-way, road rights-of-way and other existing easements and restrictions of record or otherwise, in Alachua County, Florida.</w:t>
      </w:r>
    </w:p>
    <w:p w14:paraId="46FBF6AD" w14:textId="77777777" w:rsidR="001A3A37" w:rsidRDefault="001A3A37" w:rsidP="0040549B">
      <w:pPr>
        <w:jc w:val="both"/>
        <w:rPr>
          <w:rFonts w:ascii="Arial" w:hAnsi="Arial" w:cs="Arial"/>
        </w:rPr>
      </w:pPr>
    </w:p>
    <w:p w14:paraId="4B331421" w14:textId="77777777" w:rsidR="001A3A37" w:rsidRDefault="001A3A37" w:rsidP="0040549B">
      <w:pPr>
        <w:jc w:val="both"/>
        <w:rPr>
          <w:rFonts w:ascii="Arial" w:hAnsi="Arial" w:cs="Arial"/>
        </w:rPr>
      </w:pPr>
      <w:r>
        <w:rPr>
          <w:rFonts w:ascii="Arial" w:hAnsi="Arial" w:cs="Arial"/>
        </w:rPr>
        <w:t>TAX PARCEL NO. 01875-000-000 (EDWARD D. NORFLEET, JR.)</w:t>
      </w:r>
    </w:p>
    <w:p w14:paraId="01980232" w14:textId="77777777" w:rsidR="001A3A37" w:rsidRDefault="001A3A37" w:rsidP="0040549B">
      <w:pPr>
        <w:jc w:val="both"/>
        <w:rPr>
          <w:rFonts w:ascii="Arial" w:hAnsi="Arial" w:cs="Arial"/>
        </w:rPr>
      </w:pPr>
      <w:r>
        <w:rPr>
          <w:rFonts w:ascii="Arial" w:hAnsi="Arial" w:cs="Arial"/>
        </w:rPr>
        <w:t>AS PER ORB 317, PAGE 569</w:t>
      </w:r>
    </w:p>
    <w:p w14:paraId="3F98E13A" w14:textId="77777777" w:rsidR="001A3A37" w:rsidRDefault="001A3A37" w:rsidP="0040549B">
      <w:pPr>
        <w:jc w:val="both"/>
        <w:rPr>
          <w:rFonts w:ascii="Arial" w:hAnsi="Arial" w:cs="Arial"/>
        </w:rPr>
      </w:pPr>
      <w:r>
        <w:rPr>
          <w:rFonts w:ascii="Arial" w:hAnsi="Arial" w:cs="Arial"/>
        </w:rPr>
        <w:t>The North Half (N1/2) of Section Twenty-Eight (28), Township None (9) South, Range Seventeen (17) East.</w:t>
      </w:r>
    </w:p>
    <w:p w14:paraId="118D5627" w14:textId="77777777" w:rsidR="0040549B" w:rsidRDefault="0040549B" w:rsidP="0040549B">
      <w:pPr>
        <w:jc w:val="both"/>
        <w:rPr>
          <w:rFonts w:ascii="Arial" w:hAnsi="Arial" w:cs="Arial"/>
        </w:rPr>
      </w:pPr>
    </w:p>
    <w:p w14:paraId="6705363A" w14:textId="77777777" w:rsidR="001A3A37" w:rsidRDefault="001A3A37" w:rsidP="0040549B">
      <w:pPr>
        <w:jc w:val="both"/>
        <w:rPr>
          <w:rFonts w:ascii="Arial" w:hAnsi="Arial" w:cs="Arial"/>
        </w:rPr>
      </w:pPr>
      <w:r>
        <w:rPr>
          <w:rFonts w:ascii="Arial" w:hAnsi="Arial" w:cs="Arial"/>
          <w:b/>
          <w:bCs/>
        </w:rPr>
        <w:lastRenderedPageBreak/>
        <w:t>LESS</w:t>
      </w:r>
      <w:r>
        <w:rPr>
          <w:rFonts w:ascii="Arial" w:hAnsi="Arial" w:cs="Arial"/>
        </w:rPr>
        <w:t xml:space="preserve"> railroad and highway rights-of-way.</w:t>
      </w:r>
    </w:p>
    <w:p w14:paraId="4DFE314D" w14:textId="77777777" w:rsidR="001A3A37" w:rsidRDefault="001A3A37" w:rsidP="0040549B">
      <w:pPr>
        <w:jc w:val="both"/>
        <w:rPr>
          <w:rFonts w:ascii="Arial" w:hAnsi="Arial" w:cs="Arial"/>
          <w:b/>
          <w:bCs/>
        </w:rPr>
      </w:pPr>
    </w:p>
    <w:p w14:paraId="2BB635D5" w14:textId="77777777" w:rsidR="001A3A37" w:rsidRDefault="001A3A37" w:rsidP="0040549B">
      <w:pPr>
        <w:jc w:val="both"/>
        <w:rPr>
          <w:rFonts w:ascii="Arial" w:hAnsi="Arial" w:cs="Arial"/>
        </w:rPr>
      </w:pPr>
      <w:r>
        <w:rPr>
          <w:rFonts w:ascii="Arial" w:hAnsi="Arial" w:cs="Arial"/>
          <w:b/>
          <w:bCs/>
        </w:rPr>
        <w:t>LESS &amp; EXCEPT:</w:t>
      </w:r>
      <w:r>
        <w:rPr>
          <w:rFonts w:ascii="Arial" w:hAnsi="Arial" w:cs="Arial"/>
        </w:rPr>
        <w:t xml:space="preserve"> </w:t>
      </w:r>
    </w:p>
    <w:p w14:paraId="083C0493" w14:textId="77777777" w:rsidR="001A3A37" w:rsidRDefault="001A3A37" w:rsidP="0040549B">
      <w:pPr>
        <w:jc w:val="both"/>
        <w:rPr>
          <w:rFonts w:ascii="Arial" w:hAnsi="Arial" w:cs="Arial"/>
        </w:rPr>
      </w:pPr>
      <w:r>
        <w:rPr>
          <w:rFonts w:ascii="Arial" w:hAnsi="Arial" w:cs="Arial"/>
        </w:rPr>
        <w:t>A PARCEL OF LAND SITUATED IN SECTION 28, TOWNSHIP 9 SOUTH, RANGE 17 EAST, ALACHUA COUNTY, FLORIDA, AND BEING MORE PARTICULARLY DESCRIBED AS FOLLOWS:</w:t>
      </w:r>
    </w:p>
    <w:p w14:paraId="018826DD" w14:textId="77777777" w:rsidR="001A3A37" w:rsidRDefault="001A3A37" w:rsidP="0040549B">
      <w:pPr>
        <w:jc w:val="both"/>
        <w:rPr>
          <w:rFonts w:ascii="Arial" w:hAnsi="Arial" w:cs="Arial"/>
        </w:rPr>
      </w:pPr>
    </w:p>
    <w:p w14:paraId="5F47AD3F" w14:textId="77777777" w:rsidR="001A3A37" w:rsidRDefault="001A3A37" w:rsidP="0040549B">
      <w:pPr>
        <w:jc w:val="both"/>
        <w:rPr>
          <w:rFonts w:ascii="Arial" w:hAnsi="Arial" w:cs="Arial"/>
        </w:rPr>
      </w:pPr>
      <w:r>
        <w:rPr>
          <w:rFonts w:ascii="Arial" w:hAnsi="Arial" w:cs="Arial"/>
        </w:rPr>
        <w:t>COMMENCE AT THE NORTHEAST CORNER OF SAID SECTION 28; THENCE SOUTH 87°48’32” WEST, ALONG THE NORTH LINE OF SAID SECTION 28, A DISTANCE OF 35.88 FEET TO THE WEST RIGHT OF WAY LINE OF US HIGHWAY NO. 27-41 / STATE ROAD NO. 45 (HAVING A 184’ WIDE RIGHT OF WAY): THENCE SOUTH 01°06’45” EAST, ALONG SAID WEST RIGHT OF WAY LINE, A DISTANCE OF 1835.46 FEET TO THE POINT OF BEGINNING; THENCE CONTINUE SOUTH 01°06’45” EAST, ALONG SAID WEST RIGHT OF WAY LINE, A DISTANCE OF 828.07 FEET TO AN INTERSECTION WITH THE SOUTH LINE OF THE NORTHEAST ONE-QUARTER OF SAID SECTION 28; THENCE SOUTH 88°09’26” WEST, ALONG SAID SOUTH LINE, A DISTANCE OF 2617.96 FEET TO THE EASTERLY RIGHT OF WAY LINE OF A CSX RAILROAD RIGHT OF WAY (HAVING A RIGHT OF WAY WIDTH OF 100 FEET); THENCE NORTH 02°54’05” WEST, ALONG SAID EASTERLY RIGHT OF WAY LINE, A DISTANCE OF 828.14 FEET; THENCE NORTH 88°09’26” EAST, A DISTANCE OF 2643.81 FEET TO THE POINT OF BEGINNING;  CONTAINING 50.00 ACRES, MORE OR LESS.</w:t>
      </w:r>
    </w:p>
    <w:p w14:paraId="5BCE363C" w14:textId="77777777" w:rsidR="001A3A37" w:rsidRDefault="001A3A37" w:rsidP="0040549B">
      <w:pPr>
        <w:jc w:val="both"/>
        <w:rPr>
          <w:rFonts w:ascii="Arial" w:hAnsi="Arial" w:cs="Arial"/>
        </w:rPr>
      </w:pPr>
    </w:p>
    <w:p w14:paraId="110373C4" w14:textId="77777777" w:rsidR="001A3A37" w:rsidRDefault="001A3A37" w:rsidP="0040549B">
      <w:pPr>
        <w:jc w:val="both"/>
        <w:rPr>
          <w:rFonts w:ascii="Arial" w:hAnsi="Arial" w:cs="Arial"/>
        </w:rPr>
      </w:pPr>
    </w:p>
    <w:p w14:paraId="4C7CE31F" w14:textId="77777777" w:rsidR="001A3A37" w:rsidRDefault="001A3A37" w:rsidP="0040549B">
      <w:pPr>
        <w:jc w:val="both"/>
        <w:rPr>
          <w:rFonts w:ascii="Arial" w:hAnsi="Arial" w:cs="Arial"/>
        </w:rPr>
      </w:pPr>
      <w:r>
        <w:rPr>
          <w:rFonts w:ascii="Arial" w:hAnsi="Arial" w:cs="Arial"/>
          <w:lang w:val="es-ES"/>
        </w:rPr>
        <w:t xml:space="preserve">TAX PARCEL NO. 01877-000-000 (E.D. NORFLEET, JR. </w:t>
      </w:r>
      <w:r>
        <w:rPr>
          <w:rFonts w:ascii="Arial" w:hAnsi="Arial" w:cs="Arial"/>
        </w:rPr>
        <w:t>&amp; PHYLLIS G. NORFLEET)</w:t>
      </w:r>
    </w:p>
    <w:p w14:paraId="6E21E996" w14:textId="77777777" w:rsidR="001A3A37" w:rsidRDefault="001A3A37" w:rsidP="0040549B">
      <w:pPr>
        <w:jc w:val="both"/>
        <w:rPr>
          <w:rFonts w:ascii="Arial" w:hAnsi="Arial" w:cs="Arial"/>
        </w:rPr>
      </w:pPr>
      <w:r>
        <w:rPr>
          <w:rFonts w:ascii="Arial" w:hAnsi="Arial" w:cs="Arial"/>
        </w:rPr>
        <w:t>PART OF ORB 681, PAGE 100</w:t>
      </w:r>
    </w:p>
    <w:p w14:paraId="260B0AB7" w14:textId="77777777" w:rsidR="001A3A37" w:rsidRDefault="001A3A37" w:rsidP="0040549B">
      <w:pPr>
        <w:jc w:val="both"/>
        <w:rPr>
          <w:rFonts w:ascii="Arial" w:hAnsi="Arial" w:cs="Arial"/>
        </w:rPr>
      </w:pPr>
      <w:r>
        <w:rPr>
          <w:rFonts w:ascii="Arial" w:hAnsi="Arial" w:cs="Arial"/>
        </w:rPr>
        <w:t>Northwest one-quarter (NW1/4) of the Southwest one-quarter (SW1/4) of Section Twenty-Eight (28), Township Nine (9) South, Range Seventeen (17) East, Alachua County, Florida.</w:t>
      </w:r>
    </w:p>
    <w:p w14:paraId="10A6E5A0" w14:textId="77777777" w:rsidR="001A3A37" w:rsidRDefault="001A3A37" w:rsidP="0040549B">
      <w:pPr>
        <w:jc w:val="both"/>
        <w:rPr>
          <w:rFonts w:ascii="Arial" w:hAnsi="Arial" w:cs="Arial"/>
        </w:rPr>
      </w:pPr>
    </w:p>
    <w:p w14:paraId="6DC3E81D" w14:textId="77777777" w:rsidR="001A3A37" w:rsidRDefault="001A3A37" w:rsidP="0040549B">
      <w:pPr>
        <w:jc w:val="both"/>
        <w:rPr>
          <w:rFonts w:ascii="Arial" w:hAnsi="Arial" w:cs="Arial"/>
        </w:rPr>
      </w:pPr>
      <w:r>
        <w:rPr>
          <w:rFonts w:ascii="Arial" w:hAnsi="Arial" w:cs="Arial"/>
        </w:rPr>
        <w:t>TAX PARCEL NO. 01877-001-001 (EDWARD D. NORFLEET, JR. &amp; PHYLLIS NORFLEET)</w:t>
      </w:r>
    </w:p>
    <w:p w14:paraId="0FAC9B32" w14:textId="77777777" w:rsidR="001A3A37" w:rsidRDefault="001A3A37" w:rsidP="0040549B">
      <w:pPr>
        <w:jc w:val="both"/>
        <w:rPr>
          <w:rFonts w:ascii="Arial" w:hAnsi="Arial" w:cs="Arial"/>
        </w:rPr>
      </w:pPr>
      <w:r>
        <w:rPr>
          <w:rFonts w:ascii="Arial" w:hAnsi="Arial" w:cs="Arial"/>
        </w:rPr>
        <w:t>AS PER ORB 875, PAGE 787</w:t>
      </w:r>
    </w:p>
    <w:p w14:paraId="6BCA8DFA" w14:textId="77777777" w:rsidR="001A3A37" w:rsidRDefault="001A3A37" w:rsidP="0040549B">
      <w:pPr>
        <w:jc w:val="both"/>
        <w:rPr>
          <w:rFonts w:ascii="Arial" w:hAnsi="Arial" w:cs="Arial"/>
        </w:rPr>
      </w:pPr>
      <w:r>
        <w:rPr>
          <w:rFonts w:ascii="Arial" w:hAnsi="Arial" w:cs="Arial"/>
        </w:rPr>
        <w:t>NE 1/4 OF SW 1/4 of Section 28, Township 9 South, Range 17 East, less Railroad Right of Way, Alachua County, Florida.</w:t>
      </w:r>
    </w:p>
    <w:p w14:paraId="54B58E3B" w14:textId="77777777" w:rsidR="001A3A37" w:rsidRDefault="001A3A37" w:rsidP="0040549B">
      <w:pPr>
        <w:jc w:val="both"/>
        <w:rPr>
          <w:rFonts w:ascii="Arial" w:hAnsi="Arial" w:cs="Arial"/>
        </w:rPr>
      </w:pPr>
    </w:p>
    <w:p w14:paraId="541E422D" w14:textId="77777777" w:rsidR="001A3A37" w:rsidRDefault="001A3A37" w:rsidP="0040549B">
      <w:pPr>
        <w:jc w:val="both"/>
        <w:rPr>
          <w:rFonts w:ascii="Arial" w:hAnsi="Arial" w:cs="Arial"/>
        </w:rPr>
      </w:pPr>
      <w:r>
        <w:rPr>
          <w:rFonts w:ascii="Arial" w:hAnsi="Arial" w:cs="Arial"/>
          <w:lang w:val="es-ES"/>
        </w:rPr>
        <w:t xml:space="preserve">TAX PARCEL NO. 01878-000-000 (E.D. NORFLEET, JR. </w:t>
      </w:r>
      <w:r>
        <w:rPr>
          <w:rFonts w:ascii="Arial" w:hAnsi="Arial" w:cs="Arial"/>
        </w:rPr>
        <w:t>&amp; PHYLLIS G. NORFLEET)</w:t>
      </w:r>
    </w:p>
    <w:p w14:paraId="27DDA2E6" w14:textId="77777777" w:rsidR="001A3A37" w:rsidRDefault="001A3A37" w:rsidP="0040549B">
      <w:pPr>
        <w:jc w:val="both"/>
        <w:rPr>
          <w:rFonts w:ascii="Arial" w:hAnsi="Arial" w:cs="Arial"/>
        </w:rPr>
      </w:pPr>
      <w:r>
        <w:rPr>
          <w:rFonts w:ascii="Arial" w:hAnsi="Arial" w:cs="Arial"/>
        </w:rPr>
        <w:t>PART OF ORB 681, PAGE 100</w:t>
      </w:r>
    </w:p>
    <w:p w14:paraId="7CBF1044" w14:textId="77777777" w:rsidR="001A3A37" w:rsidRDefault="001A3A37" w:rsidP="0040549B">
      <w:pPr>
        <w:jc w:val="both"/>
        <w:rPr>
          <w:rFonts w:ascii="Arial" w:hAnsi="Arial" w:cs="Arial"/>
        </w:rPr>
      </w:pPr>
      <w:r>
        <w:rPr>
          <w:rFonts w:ascii="Arial" w:hAnsi="Arial" w:cs="Arial"/>
        </w:rPr>
        <w:t>South one-half (S1/2) of the Southwest one-quarter (SW1/4) of Section Twenty-Eight (28), Township Nine (9) South, Range Seventeen (17) East, Alachua County, Florida, LESS Railroad right of way.</w:t>
      </w:r>
    </w:p>
    <w:p w14:paraId="48E0022E" w14:textId="77777777" w:rsidR="001A3A37" w:rsidRDefault="001A3A37" w:rsidP="0040549B">
      <w:pPr>
        <w:jc w:val="both"/>
        <w:rPr>
          <w:rFonts w:ascii="Arial" w:hAnsi="Arial" w:cs="Arial"/>
        </w:rPr>
      </w:pPr>
    </w:p>
    <w:p w14:paraId="54C073C1" w14:textId="77777777" w:rsidR="001A3A37" w:rsidRDefault="001A3A37" w:rsidP="0040549B">
      <w:pPr>
        <w:jc w:val="both"/>
        <w:rPr>
          <w:rFonts w:ascii="Arial" w:hAnsi="Arial" w:cs="Arial"/>
        </w:rPr>
      </w:pPr>
      <w:r>
        <w:rPr>
          <w:rFonts w:ascii="Arial" w:hAnsi="Arial" w:cs="Arial"/>
        </w:rPr>
        <w:t>TAX PARCEL NO. 01892-001-001 (E.D. NORFLEET &amp; SONS, INC.)</w:t>
      </w:r>
    </w:p>
    <w:p w14:paraId="7625932B" w14:textId="77777777" w:rsidR="001A3A37" w:rsidRDefault="001A3A37" w:rsidP="0040549B">
      <w:pPr>
        <w:jc w:val="both"/>
        <w:rPr>
          <w:rFonts w:ascii="Arial" w:hAnsi="Arial" w:cs="Arial"/>
        </w:rPr>
      </w:pPr>
      <w:r>
        <w:rPr>
          <w:rFonts w:ascii="Arial" w:hAnsi="Arial" w:cs="Arial"/>
        </w:rPr>
        <w:t>AS PER ORB 2208, PAGE 454</w:t>
      </w:r>
    </w:p>
    <w:p w14:paraId="1A8BD395" w14:textId="77777777" w:rsidR="001A3A37" w:rsidRDefault="001A3A37" w:rsidP="0040549B">
      <w:pPr>
        <w:jc w:val="both"/>
        <w:rPr>
          <w:rFonts w:ascii="Arial" w:hAnsi="Arial" w:cs="Arial"/>
        </w:rPr>
      </w:pPr>
      <w:r>
        <w:rPr>
          <w:rFonts w:ascii="Arial" w:hAnsi="Arial" w:cs="Arial"/>
        </w:rPr>
        <w:t>The North Half (N. 1/2) of the following described property:</w:t>
      </w:r>
    </w:p>
    <w:p w14:paraId="0140B175" w14:textId="77777777" w:rsidR="001A3A37" w:rsidRDefault="001A3A37" w:rsidP="0040549B">
      <w:pPr>
        <w:jc w:val="both"/>
        <w:rPr>
          <w:rFonts w:ascii="Arial" w:hAnsi="Arial" w:cs="Arial"/>
        </w:rPr>
      </w:pPr>
      <w:r>
        <w:rPr>
          <w:rFonts w:ascii="Arial" w:hAnsi="Arial" w:cs="Arial"/>
        </w:rPr>
        <w:t>A PARCEL OF LAND SITUATED IN SECTION 32, TOWNSHIP 9 SOUTH, RANGE 17 EAST AND BEING A PORTION OF BLOCK B-4 AND THE RIGHTS-OF-WAY AS SHOWN THEREON, OF "WEST NEWBERRY ESTATES", A SUBDIVISION AS PER PLAT THEREOF, AS RECORDED IN PLAT BOOK "B", PAGE 46 OF THE PUBLIC RECORDS OF ALACHUA COUNTY, FLORIDA AND BEING MORE PARTICULARLY DESCRIBED AS FOLLOWS:</w:t>
      </w:r>
    </w:p>
    <w:p w14:paraId="29E47D11" w14:textId="77777777" w:rsidR="001A3A37" w:rsidRDefault="001A3A37" w:rsidP="0040549B">
      <w:pPr>
        <w:jc w:val="both"/>
        <w:rPr>
          <w:rFonts w:ascii="Arial" w:hAnsi="Arial" w:cs="Arial"/>
        </w:rPr>
      </w:pPr>
      <w:r>
        <w:rPr>
          <w:rFonts w:ascii="Arial" w:hAnsi="Arial" w:cs="Arial"/>
        </w:rPr>
        <w:t>FOR A POINT OF BEGINNING COMMENCE AT A SANDSTONE MONUMENT (NO I.D.) AT THE NORTHEAST CORNER OF SAID SECTION 32; THENCE RUN SOUTH 00 DEG. 41 MIN. 29 SEC. WEST ALONG THE EAST LINE OF SAID SECTION 32, A DISTANCE OF 4451.93 FEET; THENCE DEPARTING SAID EAST LINE RUN NORTH 88 DEG. 29 MIN. 10 SEC. WEST, A DISTANCE OF 1326.02 FEET; THENCE RUN NORTH 04 DEG. 08 MIN. 34 SEC. EAST, A DISTANCE OF 1676.02 FEET; THENCE RUN NORTH 01 DEG. 12 MIN. 24 SEC. EAST, A DISTANCE OF 2745.54 FEET TO THE NORTH LINE OF SAID SECTION 32; THENCE RUN NORTH 90 DEG. 00 MIN. 00 SEC. EAST ALONG SAID NORTH LINE, A DISTANCE OF 1200.38 FEET TO THE POINT OF BEGINNING.</w:t>
      </w:r>
    </w:p>
    <w:p w14:paraId="3D9ECB6B" w14:textId="77777777" w:rsidR="001A3A37" w:rsidRDefault="001A3A37" w:rsidP="0040549B">
      <w:pPr>
        <w:jc w:val="both"/>
        <w:rPr>
          <w:rFonts w:ascii="Arial" w:hAnsi="Arial" w:cs="Arial"/>
        </w:rPr>
      </w:pPr>
    </w:p>
    <w:p w14:paraId="0FEEAFD6" w14:textId="77777777" w:rsidR="001A3A37" w:rsidRDefault="001A3A37" w:rsidP="0040549B">
      <w:pPr>
        <w:jc w:val="both"/>
        <w:rPr>
          <w:rFonts w:ascii="Arial" w:hAnsi="Arial" w:cs="Arial"/>
        </w:rPr>
      </w:pPr>
      <w:r>
        <w:rPr>
          <w:rFonts w:ascii="Arial" w:hAnsi="Arial" w:cs="Arial"/>
        </w:rPr>
        <w:t>TAX PARCEL 01892-021-016 (NORFLEET CONSTRUCTION COMPANY)</w:t>
      </w:r>
    </w:p>
    <w:p w14:paraId="52DC6C5F" w14:textId="77777777" w:rsidR="001A3A37" w:rsidRDefault="001A3A37" w:rsidP="0040549B">
      <w:pPr>
        <w:jc w:val="both"/>
        <w:rPr>
          <w:rFonts w:ascii="Arial" w:hAnsi="Arial" w:cs="Arial"/>
        </w:rPr>
      </w:pPr>
      <w:r>
        <w:rPr>
          <w:rFonts w:ascii="Arial" w:hAnsi="Arial" w:cs="Arial"/>
        </w:rPr>
        <w:t>AS PER ORB 3445, PAGE 172</w:t>
      </w:r>
    </w:p>
    <w:p w14:paraId="6D366B39" w14:textId="77777777" w:rsidR="001A3A37" w:rsidRDefault="001A3A37" w:rsidP="0040549B">
      <w:pPr>
        <w:jc w:val="both"/>
        <w:rPr>
          <w:rFonts w:ascii="Arial" w:hAnsi="Arial" w:cs="Arial"/>
        </w:rPr>
      </w:pPr>
      <w:r>
        <w:rPr>
          <w:rFonts w:ascii="Arial" w:hAnsi="Arial" w:cs="Arial"/>
        </w:rPr>
        <w:t>A tract of land situated in Section 32, Township 9 South, Range 17 East, Alachua County, Florida, being more particularly described as follows:</w:t>
      </w:r>
    </w:p>
    <w:p w14:paraId="5BBC6D6E" w14:textId="77777777" w:rsidR="001A3A37" w:rsidRDefault="001A3A37" w:rsidP="0040549B">
      <w:pPr>
        <w:jc w:val="both"/>
        <w:rPr>
          <w:rFonts w:ascii="Arial" w:hAnsi="Arial" w:cs="Arial"/>
        </w:rPr>
      </w:pPr>
    </w:p>
    <w:p w14:paraId="66BEFB63" w14:textId="77777777" w:rsidR="001A3A37" w:rsidRDefault="001A3A37" w:rsidP="0040549B">
      <w:pPr>
        <w:jc w:val="both"/>
        <w:rPr>
          <w:rFonts w:ascii="Arial" w:hAnsi="Arial" w:cs="Arial"/>
        </w:rPr>
      </w:pPr>
      <w:r>
        <w:rPr>
          <w:rFonts w:ascii="Arial" w:hAnsi="Arial" w:cs="Arial"/>
        </w:rPr>
        <w:t>BEGIN at a concrete monument at the Northwest corner of the Northeast Quarter (NE 1/4) of the aforementioned Section 32, being also the Northwest corner of Lot 16, Block 2 of WEST NEWBERRY ESTATES, a subdivision as per plat thereof recorded in Plat Book "B", page 46 of the Public Records of Alachua County, Florida, and run thence Southerly along the West line of said N. E. 1/4, a distance of 254.68 feet more or less to an iron rod at the Southwest corner of said Lot 16; thence run Easterly, along the South line of said Lot 16, a distance of 1290.54 feet more or less to an iron rod at the Southeast corner of said Lot 16; thence continue Easterly, along an Easterly projection of said South line of Lot 16, across North Drive, a 40 foot wide right of way dedicated by the Plat of said WEST NEWBERRY ESTATES, and into Lot 16, Block 4 of said WEST NEWBERRY ESTATES, a distance of 103.79 feet more or less to the West line of the land described in Warranty Deed recorded in Official Records Book 2208, page 454 of said Public records; thence run Northerly, along said West line, a distance of 297.86 feet more or less to the North line of said Section 32; thence run Westerly, along said North line, a distance of 1392.57 feet more or less to the POINT OF BEGINNING.</w:t>
      </w:r>
    </w:p>
    <w:p w14:paraId="47BEEA6B" w14:textId="77777777" w:rsidR="001A3A37" w:rsidRDefault="001A3A37" w:rsidP="0040549B">
      <w:pPr>
        <w:jc w:val="both"/>
        <w:rPr>
          <w:rFonts w:ascii="Arial" w:hAnsi="Arial" w:cs="Arial"/>
        </w:rPr>
      </w:pPr>
    </w:p>
    <w:p w14:paraId="0233E277" w14:textId="77777777" w:rsidR="001A3A37" w:rsidRDefault="001A3A37" w:rsidP="0040549B">
      <w:pPr>
        <w:jc w:val="both"/>
        <w:rPr>
          <w:rFonts w:ascii="Arial" w:hAnsi="Arial" w:cs="Arial"/>
        </w:rPr>
      </w:pPr>
      <w:r>
        <w:rPr>
          <w:rFonts w:ascii="Arial" w:hAnsi="Arial" w:cs="Arial"/>
        </w:rPr>
        <w:t>TAX PARCEL 01894-001-002 (NORFLEET PROPERTIES, LLLP)</w:t>
      </w:r>
    </w:p>
    <w:p w14:paraId="1B83AFAC" w14:textId="77777777" w:rsidR="001A3A37" w:rsidRDefault="001A3A37" w:rsidP="0040549B">
      <w:pPr>
        <w:jc w:val="both"/>
        <w:rPr>
          <w:rFonts w:ascii="Arial" w:hAnsi="Arial" w:cs="Arial"/>
        </w:rPr>
      </w:pPr>
      <w:r>
        <w:rPr>
          <w:rFonts w:ascii="Arial" w:hAnsi="Arial" w:cs="Arial"/>
        </w:rPr>
        <w:t>AS PER ORB 3758, PAGE 558</w:t>
      </w:r>
    </w:p>
    <w:p w14:paraId="25F7150E" w14:textId="77777777" w:rsidR="001A3A37" w:rsidRDefault="001A3A37" w:rsidP="0040549B">
      <w:pPr>
        <w:jc w:val="both"/>
        <w:rPr>
          <w:rFonts w:ascii="Arial" w:hAnsi="Arial" w:cs="Arial"/>
        </w:rPr>
      </w:pPr>
      <w:r>
        <w:rPr>
          <w:rFonts w:ascii="Arial" w:hAnsi="Arial" w:cs="Arial"/>
        </w:rPr>
        <w:t>A tract of land situated in Section 33, Township 9 South, Range 17 East, Alachua County, Florida, being more particularly described as follows:</w:t>
      </w:r>
    </w:p>
    <w:p w14:paraId="12EF9414" w14:textId="77777777" w:rsidR="001A3A37" w:rsidRDefault="001A3A37" w:rsidP="0040549B">
      <w:pPr>
        <w:jc w:val="both"/>
        <w:rPr>
          <w:rFonts w:ascii="Arial" w:hAnsi="Arial" w:cs="Arial"/>
        </w:rPr>
      </w:pPr>
    </w:p>
    <w:p w14:paraId="0C107C84" w14:textId="77777777" w:rsidR="001A3A37" w:rsidRDefault="001A3A37" w:rsidP="0040549B">
      <w:pPr>
        <w:jc w:val="both"/>
        <w:rPr>
          <w:rFonts w:ascii="Arial" w:hAnsi="Arial" w:cs="Arial"/>
        </w:rPr>
      </w:pPr>
      <w:r>
        <w:rPr>
          <w:rFonts w:ascii="Arial" w:hAnsi="Arial" w:cs="Arial"/>
        </w:rPr>
        <w:t>BEGIN at a concrete monument at the Northwest corner of the aforementioned Section 33, Township 9 South, Range 17 East and run thence S.03°00'39"E., along the West line of said Section 33, a distance of 240.02 feet; thence run N.86°17'52"E., a distance of 2.90 feet to the beginning of a curve concave Northwesterly, said curve having a radius of 2029.86 feet; thence run Northeasterly, with said curve, through an arc angle of 26°01'03", an arc distance of 921.74 feet (chord bearing and distance of N.73°17'20"E., 913.84 feet respectively) to the North line of said Section 33; thence run S.88°30'12"W., along said North line, a distance of 891.05 feet to the POINT OF BEGINNING.</w:t>
      </w:r>
    </w:p>
    <w:p w14:paraId="6F857EBC" w14:textId="77777777" w:rsidR="001A3A37" w:rsidRDefault="001A3A37" w:rsidP="0040549B">
      <w:pPr>
        <w:jc w:val="both"/>
        <w:rPr>
          <w:rFonts w:ascii="Arial" w:hAnsi="Arial" w:cs="Arial"/>
        </w:rPr>
      </w:pPr>
    </w:p>
    <w:p w14:paraId="6F5BE7A2" w14:textId="77777777" w:rsidR="001A3A37" w:rsidRDefault="001A3A37" w:rsidP="0040549B">
      <w:pPr>
        <w:pStyle w:val="BodyText"/>
        <w:jc w:val="both"/>
        <w:rPr>
          <w:rFonts w:ascii="Arial" w:hAnsi="Arial" w:cs="Arial"/>
          <w:sz w:val="22"/>
          <w:szCs w:val="22"/>
          <w:lang w:val="es-ES"/>
        </w:rPr>
      </w:pPr>
      <w:r>
        <w:rPr>
          <w:rFonts w:ascii="Arial" w:hAnsi="Arial" w:cs="Arial"/>
          <w:sz w:val="22"/>
          <w:szCs w:val="22"/>
          <w:lang w:val="es-ES"/>
        </w:rPr>
        <w:t>TAX PARCEL NO. 01845-000-000 (NORFLEET PROPERTIES LLLP)</w:t>
      </w:r>
    </w:p>
    <w:p w14:paraId="33D21D13" w14:textId="77777777" w:rsidR="001A3A37" w:rsidRDefault="001A3A37" w:rsidP="0040549B">
      <w:pPr>
        <w:pStyle w:val="BodyText"/>
        <w:jc w:val="both"/>
        <w:rPr>
          <w:rFonts w:ascii="Arial" w:hAnsi="Arial" w:cs="Arial"/>
          <w:sz w:val="22"/>
          <w:szCs w:val="22"/>
        </w:rPr>
      </w:pPr>
      <w:r>
        <w:rPr>
          <w:rFonts w:ascii="Arial" w:hAnsi="Arial" w:cs="Arial"/>
          <w:sz w:val="22"/>
          <w:szCs w:val="22"/>
        </w:rPr>
        <w:t>ORB 4952 PAGE 1846</w:t>
      </w:r>
    </w:p>
    <w:p w14:paraId="1EB2390C" w14:textId="77777777" w:rsidR="001A3A37" w:rsidRDefault="001A3A37" w:rsidP="0040549B">
      <w:pPr>
        <w:pStyle w:val="BodyText"/>
        <w:spacing w:line="247" w:lineRule="auto"/>
        <w:ind w:right="140"/>
        <w:jc w:val="both"/>
        <w:rPr>
          <w:rFonts w:ascii="Arial" w:hAnsi="Arial" w:cs="Arial"/>
          <w:sz w:val="22"/>
          <w:szCs w:val="22"/>
        </w:rPr>
      </w:pPr>
      <w:r>
        <w:rPr>
          <w:rFonts w:ascii="Arial" w:hAnsi="Arial" w:cs="Arial"/>
          <w:sz w:val="22"/>
          <w:szCs w:val="22"/>
        </w:rPr>
        <w:t xml:space="preserve">The N </w:t>
      </w:r>
      <w:r>
        <w:rPr>
          <w:rFonts w:ascii="Arial" w:hAnsi="Arial" w:cs="Arial"/>
          <w:w w:val="95"/>
          <w:sz w:val="22"/>
          <w:szCs w:val="22"/>
        </w:rPr>
        <w:t xml:space="preserve">1/2 </w:t>
      </w:r>
      <w:r>
        <w:rPr>
          <w:rFonts w:ascii="Arial" w:hAnsi="Arial" w:cs="Arial"/>
          <w:sz w:val="22"/>
          <w:szCs w:val="22"/>
        </w:rPr>
        <w:t>of South one-half (S 1/2) of the Southeast Quarter (SE 1/</w:t>
      </w:r>
      <w:r>
        <w:rPr>
          <w:rFonts w:ascii="Arial" w:hAnsi="Arial" w:cs="Arial"/>
          <w:w w:val="95"/>
          <w:sz w:val="22"/>
          <w:szCs w:val="22"/>
        </w:rPr>
        <w:t xml:space="preserve">4) </w:t>
      </w:r>
      <w:r>
        <w:rPr>
          <w:rFonts w:ascii="Arial" w:hAnsi="Arial" w:cs="Arial"/>
          <w:sz w:val="22"/>
          <w:szCs w:val="22"/>
        </w:rPr>
        <w:t>of Section 21, Township 9 South, Range 17 East</w:t>
      </w:r>
    </w:p>
    <w:p w14:paraId="36433E5A" w14:textId="77777777" w:rsidR="001A3A37" w:rsidRDefault="001A3A37" w:rsidP="0040549B">
      <w:pPr>
        <w:pStyle w:val="BodyText"/>
        <w:spacing w:line="247" w:lineRule="auto"/>
        <w:ind w:right="144"/>
        <w:jc w:val="both"/>
        <w:rPr>
          <w:rFonts w:ascii="Arial" w:hAnsi="Arial" w:cs="Arial"/>
          <w:sz w:val="22"/>
          <w:szCs w:val="22"/>
        </w:rPr>
      </w:pPr>
      <w:r>
        <w:rPr>
          <w:rFonts w:ascii="Arial" w:hAnsi="Arial" w:cs="Arial"/>
          <w:sz w:val="22"/>
          <w:szCs w:val="22"/>
        </w:rPr>
        <w:t>LESS</w:t>
      </w:r>
      <w:r>
        <w:rPr>
          <w:rFonts w:ascii="Arial" w:hAnsi="Arial" w:cs="Arial"/>
          <w:spacing w:val="-24"/>
          <w:sz w:val="22"/>
          <w:szCs w:val="22"/>
        </w:rPr>
        <w:t xml:space="preserve"> </w:t>
      </w:r>
      <w:r>
        <w:rPr>
          <w:rFonts w:ascii="Arial" w:hAnsi="Arial" w:cs="Arial"/>
          <w:sz w:val="22"/>
          <w:szCs w:val="22"/>
        </w:rPr>
        <w:t>AND</w:t>
      </w:r>
      <w:r>
        <w:rPr>
          <w:rFonts w:ascii="Arial" w:hAnsi="Arial" w:cs="Arial"/>
          <w:spacing w:val="-25"/>
          <w:sz w:val="22"/>
          <w:szCs w:val="22"/>
        </w:rPr>
        <w:t xml:space="preserve"> </w:t>
      </w:r>
      <w:r>
        <w:rPr>
          <w:rFonts w:ascii="Arial" w:hAnsi="Arial" w:cs="Arial"/>
          <w:sz w:val="22"/>
          <w:szCs w:val="22"/>
        </w:rPr>
        <w:t>EXCEPT</w:t>
      </w:r>
      <w:r>
        <w:rPr>
          <w:rFonts w:ascii="Arial" w:hAnsi="Arial" w:cs="Arial"/>
          <w:spacing w:val="-24"/>
          <w:sz w:val="22"/>
          <w:szCs w:val="22"/>
        </w:rPr>
        <w:t xml:space="preserve"> </w:t>
      </w:r>
      <w:r>
        <w:rPr>
          <w:rFonts w:ascii="Arial" w:hAnsi="Arial" w:cs="Arial"/>
          <w:sz w:val="22"/>
          <w:szCs w:val="22"/>
        </w:rPr>
        <w:t>that</w:t>
      </w:r>
      <w:r>
        <w:rPr>
          <w:rFonts w:ascii="Arial" w:hAnsi="Arial" w:cs="Arial"/>
          <w:spacing w:val="-24"/>
          <w:sz w:val="22"/>
          <w:szCs w:val="22"/>
        </w:rPr>
        <w:t xml:space="preserve"> </w:t>
      </w:r>
      <w:r>
        <w:rPr>
          <w:rFonts w:ascii="Arial" w:hAnsi="Arial" w:cs="Arial"/>
          <w:sz w:val="22"/>
          <w:szCs w:val="22"/>
        </w:rPr>
        <w:t>tract</w:t>
      </w:r>
      <w:r>
        <w:rPr>
          <w:rFonts w:ascii="Arial" w:hAnsi="Arial" w:cs="Arial"/>
          <w:spacing w:val="-26"/>
          <w:sz w:val="22"/>
          <w:szCs w:val="22"/>
        </w:rPr>
        <w:t xml:space="preserve"> </w:t>
      </w:r>
      <w:r>
        <w:rPr>
          <w:rFonts w:ascii="Arial" w:hAnsi="Arial" w:cs="Arial"/>
          <w:sz w:val="22"/>
          <w:szCs w:val="22"/>
        </w:rPr>
        <w:t>of</w:t>
      </w:r>
      <w:r>
        <w:rPr>
          <w:rFonts w:ascii="Arial" w:hAnsi="Arial" w:cs="Arial"/>
          <w:spacing w:val="-27"/>
          <w:sz w:val="22"/>
          <w:szCs w:val="22"/>
        </w:rPr>
        <w:t xml:space="preserve"> </w:t>
      </w:r>
      <w:r>
        <w:rPr>
          <w:rFonts w:ascii="Arial" w:hAnsi="Arial" w:cs="Arial"/>
          <w:sz w:val="22"/>
          <w:szCs w:val="22"/>
        </w:rPr>
        <w:t>land</w:t>
      </w:r>
      <w:r>
        <w:rPr>
          <w:rFonts w:ascii="Arial" w:hAnsi="Arial" w:cs="Arial"/>
          <w:spacing w:val="-22"/>
          <w:sz w:val="22"/>
          <w:szCs w:val="22"/>
        </w:rPr>
        <w:t xml:space="preserve"> </w:t>
      </w:r>
      <w:r>
        <w:rPr>
          <w:rFonts w:ascii="Arial" w:hAnsi="Arial" w:cs="Arial"/>
          <w:sz w:val="22"/>
          <w:szCs w:val="22"/>
        </w:rPr>
        <w:t>situated</w:t>
      </w:r>
      <w:r>
        <w:rPr>
          <w:rFonts w:ascii="Arial" w:hAnsi="Arial" w:cs="Arial"/>
          <w:spacing w:val="-22"/>
          <w:sz w:val="22"/>
          <w:szCs w:val="22"/>
        </w:rPr>
        <w:t xml:space="preserve"> </w:t>
      </w:r>
      <w:r>
        <w:rPr>
          <w:rFonts w:ascii="Arial" w:hAnsi="Arial" w:cs="Arial"/>
          <w:sz w:val="22"/>
          <w:szCs w:val="22"/>
        </w:rPr>
        <w:t>in</w:t>
      </w:r>
      <w:r>
        <w:rPr>
          <w:rFonts w:ascii="Arial" w:hAnsi="Arial" w:cs="Arial"/>
          <w:spacing w:val="-30"/>
          <w:sz w:val="22"/>
          <w:szCs w:val="22"/>
        </w:rPr>
        <w:t xml:space="preserve"> </w:t>
      </w:r>
      <w:r>
        <w:rPr>
          <w:rFonts w:ascii="Arial" w:hAnsi="Arial" w:cs="Arial"/>
          <w:sz w:val="22"/>
          <w:szCs w:val="22"/>
        </w:rPr>
        <w:t>the</w:t>
      </w:r>
      <w:r>
        <w:rPr>
          <w:rFonts w:ascii="Arial" w:hAnsi="Arial" w:cs="Arial"/>
          <w:spacing w:val="-27"/>
          <w:sz w:val="22"/>
          <w:szCs w:val="22"/>
        </w:rPr>
        <w:t xml:space="preserve"> </w:t>
      </w:r>
      <w:r>
        <w:rPr>
          <w:rFonts w:ascii="Arial" w:hAnsi="Arial" w:cs="Arial"/>
          <w:sz w:val="22"/>
          <w:szCs w:val="22"/>
        </w:rPr>
        <w:t>South</w:t>
      </w:r>
      <w:r>
        <w:rPr>
          <w:rFonts w:ascii="Arial" w:hAnsi="Arial" w:cs="Arial"/>
          <w:spacing w:val="-26"/>
          <w:sz w:val="22"/>
          <w:szCs w:val="22"/>
        </w:rPr>
        <w:t xml:space="preserve"> </w:t>
      </w:r>
      <w:r>
        <w:rPr>
          <w:rFonts w:ascii="Arial" w:hAnsi="Arial" w:cs="Arial"/>
          <w:sz w:val="22"/>
          <w:szCs w:val="22"/>
        </w:rPr>
        <w:t>1/2</w:t>
      </w:r>
      <w:r>
        <w:rPr>
          <w:rFonts w:ascii="Arial" w:hAnsi="Arial" w:cs="Arial"/>
          <w:spacing w:val="-31"/>
          <w:sz w:val="22"/>
          <w:szCs w:val="22"/>
        </w:rPr>
        <w:t xml:space="preserve"> </w:t>
      </w:r>
      <w:r>
        <w:rPr>
          <w:rFonts w:ascii="Arial" w:hAnsi="Arial" w:cs="Arial"/>
          <w:sz w:val="22"/>
          <w:szCs w:val="22"/>
        </w:rPr>
        <w:t>of</w:t>
      </w:r>
      <w:r>
        <w:rPr>
          <w:rFonts w:ascii="Arial" w:hAnsi="Arial" w:cs="Arial"/>
          <w:spacing w:val="-29"/>
          <w:sz w:val="22"/>
          <w:szCs w:val="22"/>
        </w:rPr>
        <w:t xml:space="preserve"> </w:t>
      </w:r>
      <w:r>
        <w:rPr>
          <w:rFonts w:ascii="Arial" w:hAnsi="Arial" w:cs="Arial"/>
          <w:sz w:val="22"/>
          <w:szCs w:val="22"/>
        </w:rPr>
        <w:t>the</w:t>
      </w:r>
      <w:r>
        <w:rPr>
          <w:rFonts w:ascii="Arial" w:hAnsi="Arial" w:cs="Arial"/>
          <w:spacing w:val="-28"/>
          <w:sz w:val="22"/>
          <w:szCs w:val="22"/>
        </w:rPr>
        <w:t xml:space="preserve"> </w:t>
      </w:r>
      <w:r>
        <w:rPr>
          <w:rFonts w:ascii="Arial" w:hAnsi="Arial" w:cs="Arial"/>
          <w:sz w:val="22"/>
          <w:szCs w:val="22"/>
        </w:rPr>
        <w:t>Southeast</w:t>
      </w:r>
      <w:r>
        <w:rPr>
          <w:rFonts w:ascii="Arial" w:hAnsi="Arial" w:cs="Arial"/>
          <w:spacing w:val="-2"/>
          <w:sz w:val="22"/>
          <w:szCs w:val="22"/>
        </w:rPr>
        <w:t xml:space="preserve"> 1</w:t>
      </w:r>
      <w:r>
        <w:rPr>
          <w:rFonts w:ascii="Arial" w:hAnsi="Arial" w:cs="Arial"/>
          <w:sz w:val="22"/>
          <w:szCs w:val="22"/>
        </w:rPr>
        <w:t>/4</w:t>
      </w:r>
      <w:r>
        <w:rPr>
          <w:rFonts w:ascii="Arial" w:hAnsi="Arial" w:cs="Arial"/>
          <w:spacing w:val="-36"/>
          <w:sz w:val="22"/>
          <w:szCs w:val="22"/>
        </w:rPr>
        <w:t xml:space="preserve"> </w:t>
      </w:r>
      <w:r>
        <w:rPr>
          <w:rFonts w:ascii="Arial" w:hAnsi="Arial" w:cs="Arial"/>
          <w:sz w:val="22"/>
          <w:szCs w:val="22"/>
        </w:rPr>
        <w:t>of</w:t>
      </w:r>
      <w:r>
        <w:rPr>
          <w:rFonts w:ascii="Arial" w:hAnsi="Arial" w:cs="Arial"/>
          <w:spacing w:val="-29"/>
          <w:sz w:val="22"/>
          <w:szCs w:val="22"/>
        </w:rPr>
        <w:t xml:space="preserve"> </w:t>
      </w:r>
      <w:r>
        <w:rPr>
          <w:rFonts w:ascii="Arial" w:hAnsi="Arial" w:cs="Arial"/>
          <w:sz w:val="22"/>
          <w:szCs w:val="22"/>
        </w:rPr>
        <w:t>Section</w:t>
      </w:r>
      <w:r>
        <w:rPr>
          <w:rFonts w:ascii="Arial" w:hAnsi="Arial" w:cs="Arial"/>
          <w:spacing w:val="-25"/>
          <w:sz w:val="22"/>
          <w:szCs w:val="22"/>
        </w:rPr>
        <w:t xml:space="preserve"> </w:t>
      </w:r>
      <w:r>
        <w:rPr>
          <w:rFonts w:ascii="Arial" w:hAnsi="Arial" w:cs="Arial"/>
          <w:sz w:val="22"/>
          <w:szCs w:val="22"/>
        </w:rPr>
        <w:t>21, Township 9 South, Range 17 East, Alachua County, Florida, said tract of land being more particularly described as</w:t>
      </w:r>
      <w:r>
        <w:rPr>
          <w:rFonts w:ascii="Arial" w:hAnsi="Arial" w:cs="Arial"/>
          <w:spacing w:val="-33"/>
          <w:sz w:val="22"/>
          <w:szCs w:val="22"/>
        </w:rPr>
        <w:t xml:space="preserve"> </w:t>
      </w:r>
      <w:r>
        <w:rPr>
          <w:rFonts w:ascii="Arial" w:hAnsi="Arial" w:cs="Arial"/>
          <w:sz w:val="22"/>
          <w:szCs w:val="22"/>
        </w:rPr>
        <w:t>follows:</w:t>
      </w:r>
    </w:p>
    <w:p w14:paraId="4CBBD6FD" w14:textId="77777777" w:rsidR="001A3A37" w:rsidRDefault="001A3A37" w:rsidP="0040549B">
      <w:pPr>
        <w:pStyle w:val="BodyText"/>
        <w:spacing w:line="244" w:lineRule="auto"/>
        <w:ind w:right="137"/>
        <w:jc w:val="both"/>
        <w:rPr>
          <w:rFonts w:ascii="Arial" w:hAnsi="Arial" w:cs="Arial"/>
          <w:sz w:val="22"/>
          <w:szCs w:val="22"/>
        </w:rPr>
      </w:pPr>
      <w:r>
        <w:rPr>
          <w:rFonts w:ascii="Arial" w:hAnsi="Arial" w:cs="Arial"/>
          <w:sz w:val="22"/>
          <w:szCs w:val="22"/>
        </w:rPr>
        <w:t>Commence</w:t>
      </w:r>
      <w:r>
        <w:rPr>
          <w:rFonts w:ascii="Arial" w:hAnsi="Arial" w:cs="Arial"/>
          <w:spacing w:val="2"/>
          <w:sz w:val="22"/>
          <w:szCs w:val="22"/>
        </w:rPr>
        <w:t xml:space="preserve"> </w:t>
      </w:r>
      <w:r>
        <w:rPr>
          <w:rFonts w:ascii="Arial" w:hAnsi="Arial" w:cs="Arial"/>
          <w:sz w:val="22"/>
          <w:szCs w:val="22"/>
        </w:rPr>
        <w:t>at</w:t>
      </w:r>
      <w:r>
        <w:rPr>
          <w:rFonts w:ascii="Arial" w:hAnsi="Arial" w:cs="Arial"/>
          <w:spacing w:val="-8"/>
          <w:sz w:val="22"/>
          <w:szCs w:val="22"/>
        </w:rPr>
        <w:t xml:space="preserve"> </w:t>
      </w:r>
      <w:r>
        <w:rPr>
          <w:rFonts w:ascii="Arial" w:hAnsi="Arial" w:cs="Arial"/>
          <w:sz w:val="22"/>
          <w:szCs w:val="22"/>
        </w:rPr>
        <w:t>a</w:t>
      </w:r>
      <w:r>
        <w:rPr>
          <w:rFonts w:ascii="Arial" w:hAnsi="Arial" w:cs="Arial"/>
          <w:spacing w:val="-13"/>
          <w:sz w:val="22"/>
          <w:szCs w:val="22"/>
        </w:rPr>
        <w:t xml:space="preserve"> </w:t>
      </w:r>
      <w:r>
        <w:rPr>
          <w:rFonts w:ascii="Arial" w:hAnsi="Arial" w:cs="Arial"/>
          <w:sz w:val="22"/>
          <w:szCs w:val="22"/>
        </w:rPr>
        <w:t>concrete</w:t>
      </w:r>
      <w:r>
        <w:rPr>
          <w:rFonts w:ascii="Arial" w:hAnsi="Arial" w:cs="Arial"/>
          <w:spacing w:val="2"/>
          <w:sz w:val="22"/>
          <w:szCs w:val="22"/>
        </w:rPr>
        <w:t xml:space="preserve"> </w:t>
      </w:r>
      <w:r>
        <w:rPr>
          <w:rFonts w:ascii="Arial" w:hAnsi="Arial" w:cs="Arial"/>
          <w:sz w:val="22"/>
          <w:szCs w:val="22"/>
        </w:rPr>
        <w:t>monument</w:t>
      </w:r>
      <w:r>
        <w:rPr>
          <w:rFonts w:ascii="Arial" w:hAnsi="Arial" w:cs="Arial"/>
          <w:spacing w:val="5"/>
          <w:sz w:val="22"/>
          <w:szCs w:val="22"/>
        </w:rPr>
        <w:t xml:space="preserve"> </w:t>
      </w:r>
      <w:r>
        <w:rPr>
          <w:rFonts w:ascii="Arial" w:hAnsi="Arial" w:cs="Arial"/>
          <w:sz w:val="22"/>
          <w:szCs w:val="22"/>
        </w:rPr>
        <w:t>at</w:t>
      </w:r>
      <w:r>
        <w:rPr>
          <w:rFonts w:ascii="Arial" w:hAnsi="Arial" w:cs="Arial"/>
          <w:spacing w:val="-7"/>
          <w:sz w:val="22"/>
          <w:szCs w:val="22"/>
        </w:rPr>
        <w:t xml:space="preserve"> </w:t>
      </w:r>
      <w:r>
        <w:rPr>
          <w:rFonts w:ascii="Arial" w:hAnsi="Arial" w:cs="Arial"/>
          <w:sz w:val="22"/>
          <w:szCs w:val="22"/>
        </w:rPr>
        <w:t>the</w:t>
      </w:r>
      <w:r>
        <w:rPr>
          <w:rFonts w:ascii="Arial" w:hAnsi="Arial" w:cs="Arial"/>
          <w:spacing w:val="-6"/>
          <w:sz w:val="22"/>
          <w:szCs w:val="22"/>
        </w:rPr>
        <w:t xml:space="preserve"> </w:t>
      </w:r>
      <w:r>
        <w:rPr>
          <w:rFonts w:ascii="Arial" w:hAnsi="Arial" w:cs="Arial"/>
          <w:sz w:val="22"/>
          <w:szCs w:val="22"/>
        </w:rPr>
        <w:t>Southeast</w:t>
      </w:r>
      <w:r>
        <w:rPr>
          <w:rFonts w:ascii="Arial" w:hAnsi="Arial" w:cs="Arial"/>
          <w:spacing w:val="2"/>
          <w:sz w:val="22"/>
          <w:szCs w:val="22"/>
        </w:rPr>
        <w:t xml:space="preserve"> </w:t>
      </w:r>
      <w:r>
        <w:rPr>
          <w:rFonts w:ascii="Arial" w:hAnsi="Arial" w:cs="Arial"/>
          <w:sz w:val="22"/>
          <w:szCs w:val="22"/>
        </w:rPr>
        <w:t>comer</w:t>
      </w:r>
      <w:r>
        <w:rPr>
          <w:rFonts w:ascii="Arial" w:hAnsi="Arial" w:cs="Arial"/>
          <w:spacing w:val="-1"/>
          <w:sz w:val="22"/>
          <w:szCs w:val="22"/>
        </w:rPr>
        <w:t xml:space="preserve"> </w:t>
      </w:r>
      <w:r>
        <w:rPr>
          <w:rFonts w:ascii="Arial" w:hAnsi="Arial" w:cs="Arial"/>
          <w:sz w:val="22"/>
          <w:szCs w:val="22"/>
        </w:rPr>
        <w:t>of</w:t>
      </w:r>
      <w:r>
        <w:rPr>
          <w:rFonts w:ascii="Arial" w:hAnsi="Arial" w:cs="Arial"/>
          <w:spacing w:val="-10"/>
          <w:sz w:val="22"/>
          <w:szCs w:val="22"/>
        </w:rPr>
        <w:t xml:space="preserve"> </w:t>
      </w:r>
      <w:r>
        <w:rPr>
          <w:rFonts w:ascii="Arial" w:hAnsi="Arial" w:cs="Arial"/>
          <w:sz w:val="22"/>
          <w:szCs w:val="22"/>
        </w:rPr>
        <w:t>the</w:t>
      </w:r>
      <w:r>
        <w:rPr>
          <w:rFonts w:ascii="Arial" w:hAnsi="Arial" w:cs="Arial"/>
          <w:spacing w:val="-8"/>
          <w:sz w:val="22"/>
          <w:szCs w:val="22"/>
        </w:rPr>
        <w:t xml:space="preserve"> </w:t>
      </w:r>
      <w:r>
        <w:rPr>
          <w:rFonts w:ascii="Arial" w:hAnsi="Arial" w:cs="Arial"/>
          <w:sz w:val="22"/>
          <w:szCs w:val="22"/>
        </w:rPr>
        <w:t>aforementioned</w:t>
      </w:r>
      <w:r>
        <w:rPr>
          <w:rFonts w:ascii="Arial" w:hAnsi="Arial" w:cs="Arial"/>
          <w:spacing w:val="-13"/>
          <w:sz w:val="22"/>
          <w:szCs w:val="22"/>
        </w:rPr>
        <w:t xml:space="preserve"> </w:t>
      </w:r>
      <w:r>
        <w:rPr>
          <w:rFonts w:ascii="Arial" w:hAnsi="Arial" w:cs="Arial"/>
          <w:sz w:val="22"/>
          <w:szCs w:val="22"/>
        </w:rPr>
        <w:t>Section</w:t>
      </w:r>
      <w:r>
        <w:rPr>
          <w:rFonts w:ascii="Arial" w:hAnsi="Arial" w:cs="Arial"/>
          <w:spacing w:val="-1"/>
          <w:sz w:val="22"/>
          <w:szCs w:val="22"/>
        </w:rPr>
        <w:t xml:space="preserve"> </w:t>
      </w:r>
      <w:r>
        <w:rPr>
          <w:rFonts w:ascii="Arial" w:hAnsi="Arial" w:cs="Arial"/>
          <w:sz w:val="22"/>
          <w:szCs w:val="22"/>
        </w:rPr>
        <w:t>21, Township</w:t>
      </w:r>
      <w:r>
        <w:rPr>
          <w:rFonts w:ascii="Arial" w:hAnsi="Arial" w:cs="Arial"/>
          <w:spacing w:val="-4"/>
          <w:sz w:val="22"/>
          <w:szCs w:val="22"/>
        </w:rPr>
        <w:t xml:space="preserve"> </w:t>
      </w:r>
      <w:r>
        <w:rPr>
          <w:rFonts w:ascii="Arial" w:hAnsi="Arial" w:cs="Arial"/>
          <w:sz w:val="22"/>
          <w:szCs w:val="22"/>
        </w:rPr>
        <w:t>9</w:t>
      </w:r>
      <w:r>
        <w:rPr>
          <w:rFonts w:ascii="Arial" w:hAnsi="Arial" w:cs="Arial"/>
          <w:spacing w:val="-15"/>
          <w:sz w:val="22"/>
          <w:szCs w:val="22"/>
        </w:rPr>
        <w:t xml:space="preserve"> </w:t>
      </w:r>
      <w:r>
        <w:rPr>
          <w:rFonts w:ascii="Arial" w:hAnsi="Arial" w:cs="Arial"/>
          <w:sz w:val="22"/>
          <w:szCs w:val="22"/>
        </w:rPr>
        <w:t>South,</w:t>
      </w:r>
      <w:r>
        <w:rPr>
          <w:rFonts w:ascii="Arial" w:hAnsi="Arial" w:cs="Arial"/>
          <w:spacing w:val="-2"/>
          <w:sz w:val="22"/>
          <w:szCs w:val="22"/>
        </w:rPr>
        <w:t xml:space="preserve"> </w:t>
      </w:r>
      <w:r>
        <w:rPr>
          <w:rFonts w:ascii="Arial" w:hAnsi="Arial" w:cs="Arial"/>
          <w:sz w:val="22"/>
          <w:szCs w:val="22"/>
        </w:rPr>
        <w:t>Range</w:t>
      </w:r>
      <w:r>
        <w:rPr>
          <w:rFonts w:ascii="Arial" w:hAnsi="Arial" w:cs="Arial"/>
          <w:spacing w:val="-10"/>
          <w:sz w:val="22"/>
          <w:szCs w:val="22"/>
        </w:rPr>
        <w:t xml:space="preserve"> </w:t>
      </w:r>
      <w:r>
        <w:rPr>
          <w:rFonts w:ascii="Arial" w:hAnsi="Arial" w:cs="Arial"/>
          <w:sz w:val="22"/>
          <w:szCs w:val="22"/>
        </w:rPr>
        <w:t>17</w:t>
      </w:r>
      <w:r>
        <w:rPr>
          <w:rFonts w:ascii="Arial" w:hAnsi="Arial" w:cs="Arial"/>
          <w:spacing w:val="-9"/>
          <w:sz w:val="22"/>
          <w:szCs w:val="22"/>
        </w:rPr>
        <w:t xml:space="preserve"> </w:t>
      </w:r>
      <w:r>
        <w:rPr>
          <w:rFonts w:ascii="Arial" w:hAnsi="Arial" w:cs="Arial"/>
          <w:sz w:val="22"/>
          <w:szCs w:val="22"/>
        </w:rPr>
        <w:t>East</w:t>
      </w:r>
      <w:r>
        <w:rPr>
          <w:rFonts w:ascii="Arial" w:hAnsi="Arial" w:cs="Arial"/>
          <w:spacing w:val="-8"/>
          <w:sz w:val="22"/>
          <w:szCs w:val="22"/>
        </w:rPr>
        <w:t xml:space="preserve"> </w:t>
      </w:r>
      <w:r>
        <w:rPr>
          <w:rFonts w:ascii="Arial" w:hAnsi="Arial" w:cs="Arial"/>
          <w:sz w:val="22"/>
          <w:szCs w:val="22"/>
        </w:rPr>
        <w:t>for</w:t>
      </w:r>
      <w:r>
        <w:rPr>
          <w:rFonts w:ascii="Arial" w:hAnsi="Arial" w:cs="Arial"/>
          <w:spacing w:val="-13"/>
          <w:sz w:val="22"/>
          <w:szCs w:val="22"/>
        </w:rPr>
        <w:t xml:space="preserve"> </w:t>
      </w:r>
      <w:r>
        <w:rPr>
          <w:rFonts w:ascii="Arial" w:hAnsi="Arial" w:cs="Arial"/>
          <w:sz w:val="22"/>
          <w:szCs w:val="22"/>
        </w:rPr>
        <w:t>the</w:t>
      </w:r>
      <w:r>
        <w:rPr>
          <w:rFonts w:ascii="Arial" w:hAnsi="Arial" w:cs="Arial"/>
          <w:spacing w:val="-8"/>
          <w:sz w:val="22"/>
          <w:szCs w:val="22"/>
        </w:rPr>
        <w:t xml:space="preserve"> </w:t>
      </w:r>
      <w:r>
        <w:rPr>
          <w:rFonts w:ascii="Arial" w:hAnsi="Arial" w:cs="Arial"/>
          <w:sz w:val="22"/>
          <w:szCs w:val="22"/>
        </w:rPr>
        <w:t>point</w:t>
      </w:r>
      <w:r>
        <w:rPr>
          <w:rFonts w:ascii="Arial" w:hAnsi="Arial" w:cs="Arial"/>
          <w:spacing w:val="-5"/>
          <w:sz w:val="22"/>
          <w:szCs w:val="22"/>
        </w:rPr>
        <w:t xml:space="preserve"> </w:t>
      </w:r>
      <w:r>
        <w:rPr>
          <w:rFonts w:ascii="Arial" w:hAnsi="Arial" w:cs="Arial"/>
          <w:sz w:val="22"/>
          <w:szCs w:val="22"/>
        </w:rPr>
        <w:t>of</w:t>
      </w:r>
      <w:r>
        <w:rPr>
          <w:rFonts w:ascii="Arial" w:hAnsi="Arial" w:cs="Arial"/>
          <w:spacing w:val="-11"/>
          <w:sz w:val="22"/>
          <w:szCs w:val="22"/>
        </w:rPr>
        <w:t xml:space="preserve"> </w:t>
      </w:r>
      <w:r>
        <w:rPr>
          <w:rFonts w:ascii="Arial" w:hAnsi="Arial" w:cs="Arial"/>
          <w:sz w:val="22"/>
          <w:szCs w:val="22"/>
        </w:rPr>
        <w:t>reference</w:t>
      </w:r>
      <w:r>
        <w:rPr>
          <w:rFonts w:ascii="Arial" w:hAnsi="Arial" w:cs="Arial"/>
          <w:spacing w:val="-8"/>
          <w:sz w:val="22"/>
          <w:szCs w:val="22"/>
        </w:rPr>
        <w:t xml:space="preserve"> </w:t>
      </w:r>
      <w:r>
        <w:rPr>
          <w:rFonts w:ascii="Arial" w:hAnsi="Arial" w:cs="Arial"/>
          <w:sz w:val="22"/>
          <w:szCs w:val="22"/>
        </w:rPr>
        <w:t>and</w:t>
      </w:r>
      <w:r>
        <w:rPr>
          <w:rFonts w:ascii="Arial" w:hAnsi="Arial" w:cs="Arial"/>
          <w:spacing w:val="-5"/>
          <w:sz w:val="22"/>
          <w:szCs w:val="22"/>
        </w:rPr>
        <w:t xml:space="preserve"> </w:t>
      </w:r>
      <w:r>
        <w:rPr>
          <w:rFonts w:ascii="Arial" w:hAnsi="Arial" w:cs="Arial"/>
          <w:sz w:val="22"/>
          <w:szCs w:val="22"/>
        </w:rPr>
        <w:t>run</w:t>
      </w:r>
      <w:r>
        <w:rPr>
          <w:rFonts w:ascii="Arial" w:hAnsi="Arial" w:cs="Arial"/>
          <w:spacing w:val="-13"/>
          <w:sz w:val="22"/>
          <w:szCs w:val="22"/>
        </w:rPr>
        <w:t xml:space="preserve"> </w:t>
      </w:r>
      <w:r>
        <w:rPr>
          <w:rFonts w:ascii="Arial" w:hAnsi="Arial" w:cs="Arial"/>
          <w:sz w:val="22"/>
          <w:szCs w:val="22"/>
        </w:rPr>
        <w:t>N</w:t>
      </w:r>
      <w:r>
        <w:rPr>
          <w:rFonts w:ascii="Arial" w:hAnsi="Arial" w:cs="Arial"/>
          <w:spacing w:val="-10"/>
          <w:sz w:val="22"/>
          <w:szCs w:val="22"/>
        </w:rPr>
        <w:t xml:space="preserve"> </w:t>
      </w:r>
      <w:r>
        <w:rPr>
          <w:rFonts w:ascii="Arial" w:hAnsi="Arial" w:cs="Arial"/>
          <w:sz w:val="22"/>
          <w:szCs w:val="22"/>
        </w:rPr>
        <w:t>89°</w:t>
      </w:r>
      <w:r>
        <w:rPr>
          <w:rFonts w:ascii="Arial" w:hAnsi="Arial" w:cs="Arial"/>
          <w:spacing w:val="-19"/>
          <w:sz w:val="22"/>
          <w:szCs w:val="22"/>
        </w:rPr>
        <w:t xml:space="preserve"> </w:t>
      </w:r>
      <w:r>
        <w:rPr>
          <w:rFonts w:ascii="Arial" w:hAnsi="Arial" w:cs="Arial"/>
          <w:sz w:val="22"/>
          <w:szCs w:val="22"/>
        </w:rPr>
        <w:t>05’</w:t>
      </w:r>
      <w:r>
        <w:rPr>
          <w:rFonts w:ascii="Arial" w:hAnsi="Arial" w:cs="Arial"/>
          <w:spacing w:val="-9"/>
          <w:sz w:val="22"/>
          <w:szCs w:val="22"/>
        </w:rPr>
        <w:t xml:space="preserve"> </w:t>
      </w:r>
      <w:r>
        <w:rPr>
          <w:rFonts w:ascii="Arial" w:hAnsi="Arial" w:cs="Arial"/>
          <w:sz w:val="22"/>
          <w:szCs w:val="22"/>
        </w:rPr>
        <w:t>07”</w:t>
      </w:r>
      <w:r>
        <w:rPr>
          <w:rFonts w:ascii="Arial" w:hAnsi="Arial" w:cs="Arial"/>
          <w:spacing w:val="-9"/>
          <w:sz w:val="22"/>
          <w:szCs w:val="22"/>
        </w:rPr>
        <w:t xml:space="preserve"> </w:t>
      </w:r>
      <w:r>
        <w:rPr>
          <w:rFonts w:ascii="Arial" w:hAnsi="Arial" w:cs="Arial"/>
          <w:sz w:val="22"/>
          <w:szCs w:val="22"/>
        </w:rPr>
        <w:t>E,</w:t>
      </w:r>
      <w:r>
        <w:rPr>
          <w:rFonts w:ascii="Arial" w:hAnsi="Arial" w:cs="Arial"/>
          <w:spacing w:val="-14"/>
          <w:sz w:val="22"/>
          <w:szCs w:val="22"/>
        </w:rPr>
        <w:t xml:space="preserve"> </w:t>
      </w:r>
      <w:r>
        <w:rPr>
          <w:rFonts w:ascii="Arial" w:hAnsi="Arial" w:cs="Arial"/>
          <w:sz w:val="22"/>
          <w:szCs w:val="22"/>
        </w:rPr>
        <w:t>along</w:t>
      </w:r>
      <w:r>
        <w:rPr>
          <w:rFonts w:ascii="Arial" w:hAnsi="Arial" w:cs="Arial"/>
          <w:spacing w:val="-13"/>
          <w:sz w:val="22"/>
          <w:szCs w:val="22"/>
        </w:rPr>
        <w:t xml:space="preserve"> </w:t>
      </w:r>
      <w:r>
        <w:rPr>
          <w:rFonts w:ascii="Arial" w:hAnsi="Arial" w:cs="Arial"/>
          <w:sz w:val="22"/>
          <w:szCs w:val="22"/>
        </w:rPr>
        <w:t>the South</w:t>
      </w:r>
      <w:r>
        <w:rPr>
          <w:rFonts w:ascii="Arial" w:hAnsi="Arial" w:cs="Arial"/>
          <w:spacing w:val="-14"/>
          <w:sz w:val="22"/>
          <w:szCs w:val="22"/>
        </w:rPr>
        <w:t xml:space="preserve"> </w:t>
      </w:r>
      <w:r>
        <w:rPr>
          <w:rFonts w:ascii="Arial" w:hAnsi="Arial" w:cs="Arial"/>
          <w:sz w:val="22"/>
          <w:szCs w:val="22"/>
        </w:rPr>
        <w:t>line</w:t>
      </w:r>
      <w:r>
        <w:rPr>
          <w:rFonts w:ascii="Arial" w:hAnsi="Arial" w:cs="Arial"/>
          <w:spacing w:val="-21"/>
          <w:sz w:val="22"/>
          <w:szCs w:val="22"/>
        </w:rPr>
        <w:t xml:space="preserve"> </w:t>
      </w:r>
      <w:r>
        <w:rPr>
          <w:rFonts w:ascii="Arial" w:hAnsi="Arial" w:cs="Arial"/>
          <w:sz w:val="22"/>
          <w:szCs w:val="22"/>
        </w:rPr>
        <w:t>of</w:t>
      </w:r>
      <w:r>
        <w:rPr>
          <w:rFonts w:ascii="Arial" w:hAnsi="Arial" w:cs="Arial"/>
          <w:spacing w:val="-22"/>
          <w:sz w:val="22"/>
          <w:szCs w:val="22"/>
        </w:rPr>
        <w:t xml:space="preserve"> </w:t>
      </w:r>
      <w:r>
        <w:rPr>
          <w:rFonts w:ascii="Arial" w:hAnsi="Arial" w:cs="Arial"/>
          <w:sz w:val="22"/>
          <w:szCs w:val="22"/>
        </w:rPr>
        <w:t>Section</w:t>
      </w:r>
      <w:r>
        <w:rPr>
          <w:rFonts w:ascii="Arial" w:hAnsi="Arial" w:cs="Arial"/>
          <w:spacing w:val="-15"/>
          <w:sz w:val="22"/>
          <w:szCs w:val="22"/>
        </w:rPr>
        <w:t xml:space="preserve"> </w:t>
      </w:r>
      <w:r>
        <w:rPr>
          <w:rFonts w:ascii="Arial" w:hAnsi="Arial" w:cs="Arial"/>
          <w:sz w:val="22"/>
          <w:szCs w:val="22"/>
        </w:rPr>
        <w:t>22,</w:t>
      </w:r>
      <w:r>
        <w:rPr>
          <w:rFonts w:ascii="Arial" w:hAnsi="Arial" w:cs="Arial"/>
          <w:spacing w:val="-20"/>
          <w:sz w:val="22"/>
          <w:szCs w:val="22"/>
        </w:rPr>
        <w:t xml:space="preserve"> </w:t>
      </w:r>
      <w:r>
        <w:rPr>
          <w:rFonts w:ascii="Arial" w:hAnsi="Arial" w:cs="Arial"/>
          <w:sz w:val="22"/>
          <w:szCs w:val="22"/>
        </w:rPr>
        <w:t>Township</w:t>
      </w:r>
      <w:r>
        <w:rPr>
          <w:rFonts w:ascii="Arial" w:hAnsi="Arial" w:cs="Arial"/>
          <w:spacing w:val="-16"/>
          <w:sz w:val="22"/>
          <w:szCs w:val="22"/>
        </w:rPr>
        <w:t xml:space="preserve"> </w:t>
      </w:r>
      <w:r>
        <w:rPr>
          <w:rFonts w:ascii="Arial" w:hAnsi="Arial" w:cs="Arial"/>
          <w:sz w:val="22"/>
          <w:szCs w:val="22"/>
        </w:rPr>
        <w:t>9</w:t>
      </w:r>
      <w:r>
        <w:rPr>
          <w:rFonts w:ascii="Arial" w:hAnsi="Arial" w:cs="Arial"/>
          <w:spacing w:val="-24"/>
          <w:sz w:val="22"/>
          <w:szCs w:val="22"/>
        </w:rPr>
        <w:t xml:space="preserve"> </w:t>
      </w:r>
      <w:r>
        <w:rPr>
          <w:rFonts w:ascii="Arial" w:hAnsi="Arial" w:cs="Arial"/>
          <w:sz w:val="22"/>
          <w:szCs w:val="22"/>
        </w:rPr>
        <w:t>South,</w:t>
      </w:r>
      <w:r>
        <w:rPr>
          <w:rFonts w:ascii="Arial" w:hAnsi="Arial" w:cs="Arial"/>
          <w:spacing w:val="-13"/>
          <w:sz w:val="22"/>
          <w:szCs w:val="22"/>
        </w:rPr>
        <w:t xml:space="preserve"> </w:t>
      </w:r>
      <w:r>
        <w:rPr>
          <w:rFonts w:ascii="Arial" w:hAnsi="Arial" w:cs="Arial"/>
          <w:sz w:val="22"/>
          <w:szCs w:val="22"/>
        </w:rPr>
        <w:t>Range</w:t>
      </w:r>
      <w:r>
        <w:rPr>
          <w:rFonts w:ascii="Arial" w:hAnsi="Arial" w:cs="Arial"/>
          <w:spacing w:val="-15"/>
          <w:sz w:val="22"/>
          <w:szCs w:val="22"/>
        </w:rPr>
        <w:t xml:space="preserve"> </w:t>
      </w:r>
      <w:r>
        <w:rPr>
          <w:rFonts w:ascii="Arial" w:hAnsi="Arial" w:cs="Arial"/>
          <w:sz w:val="22"/>
          <w:szCs w:val="22"/>
        </w:rPr>
        <w:t>17</w:t>
      </w:r>
      <w:r>
        <w:rPr>
          <w:rFonts w:ascii="Arial" w:hAnsi="Arial" w:cs="Arial"/>
          <w:spacing w:val="-21"/>
          <w:sz w:val="22"/>
          <w:szCs w:val="22"/>
        </w:rPr>
        <w:t xml:space="preserve"> </w:t>
      </w:r>
      <w:r>
        <w:rPr>
          <w:rFonts w:ascii="Arial" w:hAnsi="Arial" w:cs="Arial"/>
          <w:sz w:val="22"/>
          <w:szCs w:val="22"/>
        </w:rPr>
        <w:t>East,</w:t>
      </w:r>
      <w:r>
        <w:rPr>
          <w:rFonts w:ascii="Arial" w:hAnsi="Arial" w:cs="Arial"/>
          <w:spacing w:val="-22"/>
          <w:sz w:val="22"/>
          <w:szCs w:val="22"/>
        </w:rPr>
        <w:t xml:space="preserve"> </w:t>
      </w:r>
      <w:r>
        <w:rPr>
          <w:rFonts w:ascii="Arial" w:hAnsi="Arial" w:cs="Arial"/>
          <w:sz w:val="22"/>
          <w:szCs w:val="22"/>
        </w:rPr>
        <w:t>a</w:t>
      </w:r>
      <w:r>
        <w:rPr>
          <w:rFonts w:ascii="Arial" w:hAnsi="Arial" w:cs="Arial"/>
          <w:spacing w:val="-23"/>
          <w:sz w:val="22"/>
          <w:szCs w:val="22"/>
        </w:rPr>
        <w:t xml:space="preserve"> </w:t>
      </w:r>
      <w:r>
        <w:rPr>
          <w:rFonts w:ascii="Arial" w:hAnsi="Arial" w:cs="Arial"/>
          <w:sz w:val="22"/>
          <w:szCs w:val="22"/>
        </w:rPr>
        <w:t>distance</w:t>
      </w:r>
      <w:r>
        <w:rPr>
          <w:rFonts w:ascii="Arial" w:hAnsi="Arial" w:cs="Arial"/>
          <w:spacing w:val="-14"/>
          <w:sz w:val="22"/>
          <w:szCs w:val="22"/>
        </w:rPr>
        <w:t xml:space="preserve"> </w:t>
      </w:r>
      <w:r>
        <w:rPr>
          <w:rFonts w:ascii="Arial" w:hAnsi="Arial" w:cs="Arial"/>
          <w:sz w:val="22"/>
          <w:szCs w:val="22"/>
        </w:rPr>
        <w:t>of</w:t>
      </w:r>
      <w:r>
        <w:rPr>
          <w:rFonts w:ascii="Arial" w:hAnsi="Arial" w:cs="Arial"/>
          <w:spacing w:val="-18"/>
          <w:sz w:val="22"/>
          <w:szCs w:val="22"/>
        </w:rPr>
        <w:t xml:space="preserve"> </w:t>
      </w:r>
      <w:r>
        <w:rPr>
          <w:rFonts w:ascii="Arial" w:hAnsi="Arial" w:cs="Arial"/>
          <w:sz w:val="22"/>
          <w:szCs w:val="22"/>
        </w:rPr>
        <w:t>24.17</w:t>
      </w:r>
      <w:r>
        <w:rPr>
          <w:rFonts w:ascii="Arial" w:hAnsi="Arial" w:cs="Arial"/>
          <w:spacing w:val="-19"/>
          <w:sz w:val="22"/>
          <w:szCs w:val="22"/>
        </w:rPr>
        <w:t xml:space="preserve"> </w:t>
      </w:r>
      <w:r>
        <w:rPr>
          <w:rFonts w:ascii="Arial" w:hAnsi="Arial" w:cs="Arial"/>
          <w:sz w:val="22"/>
          <w:szCs w:val="22"/>
        </w:rPr>
        <w:t>feet</w:t>
      </w:r>
      <w:r>
        <w:rPr>
          <w:rFonts w:ascii="Arial" w:hAnsi="Arial" w:cs="Arial"/>
          <w:spacing w:val="-18"/>
          <w:sz w:val="22"/>
          <w:szCs w:val="22"/>
        </w:rPr>
        <w:t xml:space="preserve"> </w:t>
      </w:r>
      <w:r>
        <w:rPr>
          <w:rFonts w:ascii="Arial" w:hAnsi="Arial" w:cs="Arial"/>
          <w:sz w:val="22"/>
          <w:szCs w:val="22"/>
        </w:rPr>
        <w:t>to</w:t>
      </w:r>
      <w:r>
        <w:rPr>
          <w:rFonts w:ascii="Arial" w:hAnsi="Arial" w:cs="Arial"/>
          <w:spacing w:val="-17"/>
          <w:sz w:val="22"/>
          <w:szCs w:val="22"/>
        </w:rPr>
        <w:t xml:space="preserve"> </w:t>
      </w:r>
      <w:r>
        <w:rPr>
          <w:rFonts w:ascii="Arial" w:hAnsi="Arial" w:cs="Arial"/>
          <w:sz w:val="22"/>
          <w:szCs w:val="22"/>
        </w:rPr>
        <w:t>a</w:t>
      </w:r>
      <w:r>
        <w:rPr>
          <w:rFonts w:ascii="Arial" w:hAnsi="Arial" w:cs="Arial"/>
          <w:spacing w:val="-21"/>
          <w:sz w:val="22"/>
          <w:szCs w:val="22"/>
        </w:rPr>
        <w:t xml:space="preserve"> </w:t>
      </w:r>
      <w:r>
        <w:rPr>
          <w:rFonts w:ascii="Arial" w:hAnsi="Arial" w:cs="Arial"/>
          <w:sz w:val="22"/>
          <w:szCs w:val="22"/>
        </w:rPr>
        <w:t>nail</w:t>
      </w:r>
      <w:r>
        <w:rPr>
          <w:rFonts w:ascii="Arial" w:hAnsi="Arial" w:cs="Arial"/>
          <w:spacing w:val="-19"/>
          <w:sz w:val="22"/>
          <w:szCs w:val="22"/>
        </w:rPr>
        <w:t xml:space="preserve"> </w:t>
      </w:r>
      <w:r>
        <w:rPr>
          <w:rFonts w:ascii="Arial" w:hAnsi="Arial" w:cs="Arial"/>
          <w:sz w:val="22"/>
          <w:szCs w:val="22"/>
        </w:rPr>
        <w:t>and disk at the intersection of said South line with the centerline of State Road No. 45 (AKA U.S. Highway</w:t>
      </w:r>
      <w:r>
        <w:rPr>
          <w:rFonts w:ascii="Arial" w:hAnsi="Arial" w:cs="Arial"/>
          <w:spacing w:val="-24"/>
          <w:sz w:val="22"/>
          <w:szCs w:val="22"/>
        </w:rPr>
        <w:t xml:space="preserve"> </w:t>
      </w:r>
      <w:r>
        <w:rPr>
          <w:rFonts w:ascii="Arial" w:hAnsi="Arial" w:cs="Arial"/>
          <w:sz w:val="22"/>
          <w:szCs w:val="22"/>
        </w:rPr>
        <w:t>No.</w:t>
      </w:r>
      <w:r>
        <w:rPr>
          <w:rFonts w:ascii="Arial" w:hAnsi="Arial" w:cs="Arial"/>
          <w:spacing w:val="-34"/>
          <w:sz w:val="22"/>
          <w:szCs w:val="22"/>
        </w:rPr>
        <w:t xml:space="preserve"> </w:t>
      </w:r>
      <w:r>
        <w:rPr>
          <w:rFonts w:ascii="Arial" w:hAnsi="Arial" w:cs="Arial"/>
          <w:sz w:val="22"/>
          <w:szCs w:val="22"/>
        </w:rPr>
        <w:t>41</w:t>
      </w:r>
      <w:r>
        <w:rPr>
          <w:rFonts w:ascii="Arial" w:hAnsi="Arial" w:cs="Arial"/>
          <w:spacing w:val="-7"/>
          <w:sz w:val="22"/>
          <w:szCs w:val="22"/>
        </w:rPr>
        <w:t xml:space="preserve"> </w:t>
      </w:r>
      <w:r>
        <w:rPr>
          <w:rFonts w:ascii="Arial" w:hAnsi="Arial" w:cs="Arial"/>
          <w:sz w:val="22"/>
          <w:szCs w:val="22"/>
        </w:rPr>
        <w:t>and</w:t>
      </w:r>
      <w:r>
        <w:rPr>
          <w:rFonts w:ascii="Arial" w:hAnsi="Arial" w:cs="Arial"/>
          <w:spacing w:val="-29"/>
          <w:sz w:val="22"/>
          <w:szCs w:val="22"/>
        </w:rPr>
        <w:t xml:space="preserve"> </w:t>
      </w:r>
      <w:r>
        <w:rPr>
          <w:rFonts w:ascii="Arial" w:hAnsi="Arial" w:cs="Arial"/>
          <w:sz w:val="22"/>
          <w:szCs w:val="22"/>
        </w:rPr>
        <w:t>27);</w:t>
      </w:r>
      <w:r>
        <w:rPr>
          <w:rFonts w:ascii="Arial" w:hAnsi="Arial" w:cs="Arial"/>
          <w:spacing w:val="-35"/>
          <w:sz w:val="22"/>
          <w:szCs w:val="22"/>
        </w:rPr>
        <w:t xml:space="preserve"> </w:t>
      </w:r>
      <w:r>
        <w:rPr>
          <w:rFonts w:ascii="Arial" w:hAnsi="Arial" w:cs="Arial"/>
          <w:sz w:val="22"/>
          <w:szCs w:val="22"/>
        </w:rPr>
        <w:t>thence</w:t>
      </w:r>
      <w:r>
        <w:rPr>
          <w:rFonts w:ascii="Arial" w:hAnsi="Arial" w:cs="Arial"/>
          <w:spacing w:val="-27"/>
          <w:sz w:val="22"/>
          <w:szCs w:val="22"/>
        </w:rPr>
        <w:t xml:space="preserve"> </w:t>
      </w:r>
      <w:r>
        <w:rPr>
          <w:rFonts w:ascii="Arial" w:hAnsi="Arial" w:cs="Arial"/>
          <w:sz w:val="22"/>
          <w:szCs w:val="22"/>
        </w:rPr>
        <w:t>run</w:t>
      </w:r>
      <w:r>
        <w:rPr>
          <w:rFonts w:ascii="Arial" w:hAnsi="Arial" w:cs="Arial"/>
          <w:spacing w:val="-28"/>
          <w:sz w:val="22"/>
          <w:szCs w:val="22"/>
        </w:rPr>
        <w:t xml:space="preserve"> </w:t>
      </w:r>
      <w:r>
        <w:rPr>
          <w:rFonts w:ascii="Arial" w:hAnsi="Arial" w:cs="Arial"/>
          <w:sz w:val="22"/>
          <w:szCs w:val="22"/>
        </w:rPr>
        <w:t>N</w:t>
      </w:r>
      <w:r>
        <w:rPr>
          <w:rFonts w:ascii="Arial" w:hAnsi="Arial" w:cs="Arial"/>
          <w:spacing w:val="-33"/>
          <w:sz w:val="22"/>
          <w:szCs w:val="22"/>
        </w:rPr>
        <w:t xml:space="preserve"> </w:t>
      </w:r>
      <w:r>
        <w:rPr>
          <w:rFonts w:ascii="Arial" w:hAnsi="Arial" w:cs="Arial"/>
          <w:sz w:val="22"/>
          <w:szCs w:val="22"/>
        </w:rPr>
        <w:t>01°</w:t>
      </w:r>
      <w:r>
        <w:rPr>
          <w:rFonts w:ascii="Arial" w:hAnsi="Arial" w:cs="Arial"/>
          <w:spacing w:val="-42"/>
          <w:sz w:val="22"/>
          <w:szCs w:val="22"/>
        </w:rPr>
        <w:t xml:space="preserve"> </w:t>
      </w:r>
      <w:r>
        <w:rPr>
          <w:rFonts w:ascii="Arial" w:hAnsi="Arial" w:cs="Arial"/>
          <w:sz w:val="22"/>
          <w:szCs w:val="22"/>
        </w:rPr>
        <w:t>06’</w:t>
      </w:r>
      <w:r>
        <w:rPr>
          <w:rFonts w:ascii="Arial" w:hAnsi="Arial" w:cs="Arial"/>
          <w:spacing w:val="-35"/>
          <w:sz w:val="22"/>
          <w:szCs w:val="22"/>
        </w:rPr>
        <w:t xml:space="preserve"> </w:t>
      </w:r>
      <w:r>
        <w:rPr>
          <w:rFonts w:ascii="Arial" w:hAnsi="Arial" w:cs="Arial"/>
          <w:sz w:val="22"/>
          <w:szCs w:val="22"/>
        </w:rPr>
        <w:t>42”</w:t>
      </w:r>
      <w:r>
        <w:rPr>
          <w:rFonts w:ascii="Arial" w:hAnsi="Arial" w:cs="Arial"/>
          <w:spacing w:val="-29"/>
          <w:sz w:val="22"/>
          <w:szCs w:val="22"/>
        </w:rPr>
        <w:t xml:space="preserve"> </w:t>
      </w:r>
      <w:r>
        <w:rPr>
          <w:rFonts w:ascii="Arial" w:hAnsi="Arial" w:cs="Arial"/>
          <w:sz w:val="22"/>
          <w:szCs w:val="22"/>
        </w:rPr>
        <w:t>W,</w:t>
      </w:r>
      <w:r>
        <w:rPr>
          <w:rFonts w:ascii="Arial" w:hAnsi="Arial" w:cs="Arial"/>
          <w:spacing w:val="-37"/>
          <w:sz w:val="22"/>
          <w:szCs w:val="22"/>
        </w:rPr>
        <w:t xml:space="preserve"> </w:t>
      </w:r>
      <w:r>
        <w:rPr>
          <w:rFonts w:ascii="Arial" w:hAnsi="Arial" w:cs="Arial"/>
          <w:sz w:val="22"/>
          <w:szCs w:val="22"/>
        </w:rPr>
        <w:t>along</w:t>
      </w:r>
      <w:r>
        <w:rPr>
          <w:rFonts w:ascii="Arial" w:hAnsi="Arial" w:cs="Arial"/>
          <w:spacing w:val="-32"/>
          <w:sz w:val="22"/>
          <w:szCs w:val="22"/>
        </w:rPr>
        <w:t xml:space="preserve"> </w:t>
      </w:r>
      <w:r>
        <w:rPr>
          <w:rFonts w:ascii="Arial" w:hAnsi="Arial" w:cs="Arial"/>
          <w:sz w:val="22"/>
          <w:szCs w:val="22"/>
        </w:rPr>
        <w:t>said</w:t>
      </w:r>
      <w:r>
        <w:rPr>
          <w:rFonts w:ascii="Arial" w:hAnsi="Arial" w:cs="Arial"/>
          <w:spacing w:val="-32"/>
          <w:sz w:val="22"/>
          <w:szCs w:val="22"/>
        </w:rPr>
        <w:t xml:space="preserve"> </w:t>
      </w:r>
      <w:r>
        <w:rPr>
          <w:rFonts w:ascii="Arial" w:hAnsi="Arial" w:cs="Arial"/>
          <w:sz w:val="22"/>
          <w:szCs w:val="22"/>
        </w:rPr>
        <w:t>centerline,</w:t>
      </w:r>
      <w:r>
        <w:rPr>
          <w:rFonts w:ascii="Arial" w:hAnsi="Arial" w:cs="Arial"/>
          <w:spacing w:val="-28"/>
          <w:sz w:val="22"/>
          <w:szCs w:val="22"/>
        </w:rPr>
        <w:t xml:space="preserve"> </w:t>
      </w:r>
      <w:r>
        <w:rPr>
          <w:rFonts w:ascii="Arial" w:hAnsi="Arial" w:cs="Arial"/>
          <w:sz w:val="22"/>
          <w:szCs w:val="22"/>
        </w:rPr>
        <w:t>a</w:t>
      </w:r>
      <w:r>
        <w:rPr>
          <w:rFonts w:ascii="Arial" w:hAnsi="Arial" w:cs="Arial"/>
          <w:spacing w:val="-37"/>
          <w:sz w:val="22"/>
          <w:szCs w:val="22"/>
        </w:rPr>
        <w:t xml:space="preserve"> </w:t>
      </w:r>
      <w:r>
        <w:rPr>
          <w:rFonts w:ascii="Arial" w:hAnsi="Arial" w:cs="Arial"/>
          <w:sz w:val="22"/>
          <w:szCs w:val="22"/>
        </w:rPr>
        <w:t>distance</w:t>
      </w:r>
      <w:r>
        <w:rPr>
          <w:rFonts w:ascii="Arial" w:hAnsi="Arial" w:cs="Arial"/>
          <w:spacing w:val="-31"/>
          <w:sz w:val="22"/>
          <w:szCs w:val="22"/>
        </w:rPr>
        <w:t xml:space="preserve"> </w:t>
      </w:r>
      <w:r>
        <w:rPr>
          <w:rFonts w:ascii="Arial" w:hAnsi="Arial" w:cs="Arial"/>
          <w:sz w:val="22"/>
          <w:szCs w:val="22"/>
        </w:rPr>
        <w:t>of</w:t>
      </w:r>
      <w:r>
        <w:rPr>
          <w:rFonts w:ascii="Arial" w:hAnsi="Arial" w:cs="Arial"/>
          <w:spacing w:val="-33"/>
          <w:sz w:val="22"/>
          <w:szCs w:val="22"/>
        </w:rPr>
        <w:t xml:space="preserve"> </w:t>
      </w:r>
      <w:r>
        <w:rPr>
          <w:rFonts w:ascii="Arial" w:hAnsi="Arial" w:cs="Arial"/>
          <w:sz w:val="22"/>
          <w:szCs w:val="22"/>
        </w:rPr>
        <w:t>1252.95 feet;</w:t>
      </w:r>
      <w:r>
        <w:rPr>
          <w:rFonts w:ascii="Arial" w:hAnsi="Arial" w:cs="Arial"/>
          <w:spacing w:val="-8"/>
          <w:sz w:val="22"/>
          <w:szCs w:val="22"/>
        </w:rPr>
        <w:t xml:space="preserve"> </w:t>
      </w:r>
      <w:r>
        <w:rPr>
          <w:rFonts w:ascii="Arial" w:hAnsi="Arial" w:cs="Arial"/>
          <w:sz w:val="22"/>
          <w:szCs w:val="22"/>
        </w:rPr>
        <w:t>thence</w:t>
      </w:r>
      <w:r>
        <w:rPr>
          <w:rFonts w:ascii="Arial" w:hAnsi="Arial" w:cs="Arial"/>
          <w:spacing w:val="-6"/>
          <w:sz w:val="22"/>
          <w:szCs w:val="22"/>
        </w:rPr>
        <w:t xml:space="preserve"> </w:t>
      </w:r>
      <w:r>
        <w:rPr>
          <w:rFonts w:ascii="Arial" w:hAnsi="Arial" w:cs="Arial"/>
          <w:sz w:val="22"/>
          <w:szCs w:val="22"/>
        </w:rPr>
        <w:t>run</w:t>
      </w:r>
      <w:r>
        <w:rPr>
          <w:rFonts w:ascii="Arial" w:hAnsi="Arial" w:cs="Arial"/>
          <w:spacing w:val="-13"/>
          <w:sz w:val="22"/>
          <w:szCs w:val="22"/>
        </w:rPr>
        <w:t xml:space="preserve"> </w:t>
      </w:r>
      <w:r>
        <w:rPr>
          <w:rFonts w:ascii="Arial" w:hAnsi="Arial" w:cs="Arial"/>
          <w:sz w:val="22"/>
          <w:szCs w:val="22"/>
        </w:rPr>
        <w:t>S</w:t>
      </w:r>
      <w:r>
        <w:rPr>
          <w:rFonts w:ascii="Arial" w:hAnsi="Arial" w:cs="Arial"/>
          <w:spacing w:val="-16"/>
          <w:sz w:val="22"/>
          <w:szCs w:val="22"/>
        </w:rPr>
        <w:t xml:space="preserve"> </w:t>
      </w:r>
      <w:r>
        <w:rPr>
          <w:rFonts w:ascii="Arial" w:hAnsi="Arial" w:cs="Arial"/>
          <w:sz w:val="22"/>
          <w:szCs w:val="22"/>
        </w:rPr>
        <w:t>88°</w:t>
      </w:r>
      <w:r>
        <w:rPr>
          <w:rFonts w:ascii="Arial" w:hAnsi="Arial" w:cs="Arial"/>
          <w:spacing w:val="-21"/>
          <w:sz w:val="22"/>
          <w:szCs w:val="22"/>
        </w:rPr>
        <w:t xml:space="preserve"> </w:t>
      </w:r>
      <w:r>
        <w:rPr>
          <w:rFonts w:ascii="Arial" w:hAnsi="Arial" w:cs="Arial"/>
          <w:sz w:val="22"/>
          <w:szCs w:val="22"/>
        </w:rPr>
        <w:t>56’</w:t>
      </w:r>
      <w:r>
        <w:rPr>
          <w:rFonts w:ascii="Arial" w:hAnsi="Arial" w:cs="Arial"/>
          <w:spacing w:val="-15"/>
          <w:sz w:val="22"/>
          <w:szCs w:val="22"/>
        </w:rPr>
        <w:t xml:space="preserve"> </w:t>
      </w:r>
      <w:r>
        <w:rPr>
          <w:rFonts w:ascii="Arial" w:hAnsi="Arial" w:cs="Arial"/>
          <w:sz w:val="22"/>
          <w:szCs w:val="22"/>
        </w:rPr>
        <w:t>47”</w:t>
      </w:r>
      <w:r>
        <w:rPr>
          <w:rFonts w:ascii="Arial" w:hAnsi="Arial" w:cs="Arial"/>
          <w:spacing w:val="-7"/>
          <w:sz w:val="22"/>
          <w:szCs w:val="22"/>
        </w:rPr>
        <w:t xml:space="preserve"> </w:t>
      </w:r>
      <w:r>
        <w:rPr>
          <w:rFonts w:ascii="Arial" w:hAnsi="Arial" w:cs="Arial"/>
          <w:sz w:val="22"/>
          <w:szCs w:val="22"/>
        </w:rPr>
        <w:t>W.,</w:t>
      </w:r>
      <w:r>
        <w:rPr>
          <w:rFonts w:ascii="Arial" w:hAnsi="Arial" w:cs="Arial"/>
          <w:spacing w:val="-16"/>
          <w:sz w:val="22"/>
          <w:szCs w:val="22"/>
        </w:rPr>
        <w:t xml:space="preserve"> </w:t>
      </w:r>
      <w:r>
        <w:rPr>
          <w:rFonts w:ascii="Arial" w:hAnsi="Arial" w:cs="Arial"/>
          <w:sz w:val="22"/>
          <w:szCs w:val="22"/>
        </w:rPr>
        <w:t>a</w:t>
      </w:r>
      <w:r>
        <w:rPr>
          <w:rFonts w:ascii="Arial" w:hAnsi="Arial" w:cs="Arial"/>
          <w:spacing w:val="-17"/>
          <w:sz w:val="22"/>
          <w:szCs w:val="22"/>
        </w:rPr>
        <w:t xml:space="preserve"> </w:t>
      </w:r>
      <w:r>
        <w:rPr>
          <w:rFonts w:ascii="Arial" w:hAnsi="Arial" w:cs="Arial"/>
          <w:sz w:val="22"/>
          <w:szCs w:val="22"/>
        </w:rPr>
        <w:t>distance</w:t>
      </w:r>
      <w:r>
        <w:rPr>
          <w:rFonts w:ascii="Arial" w:hAnsi="Arial" w:cs="Arial"/>
          <w:spacing w:val="-8"/>
          <w:sz w:val="22"/>
          <w:szCs w:val="22"/>
        </w:rPr>
        <w:t xml:space="preserve"> </w:t>
      </w:r>
      <w:r>
        <w:rPr>
          <w:rFonts w:ascii="Arial" w:hAnsi="Arial" w:cs="Arial"/>
          <w:sz w:val="22"/>
          <w:szCs w:val="22"/>
        </w:rPr>
        <w:t>of</w:t>
      </w:r>
      <w:r>
        <w:rPr>
          <w:rFonts w:ascii="Arial" w:hAnsi="Arial" w:cs="Arial"/>
          <w:spacing w:val="-16"/>
          <w:sz w:val="22"/>
          <w:szCs w:val="22"/>
        </w:rPr>
        <w:t xml:space="preserve"> </w:t>
      </w:r>
      <w:r>
        <w:rPr>
          <w:rFonts w:ascii="Arial" w:hAnsi="Arial" w:cs="Arial"/>
          <w:sz w:val="22"/>
          <w:szCs w:val="22"/>
        </w:rPr>
        <w:t>619.78</w:t>
      </w:r>
      <w:r>
        <w:rPr>
          <w:rFonts w:ascii="Arial" w:hAnsi="Arial" w:cs="Arial"/>
          <w:spacing w:val="-7"/>
          <w:sz w:val="22"/>
          <w:szCs w:val="22"/>
        </w:rPr>
        <w:t xml:space="preserve"> </w:t>
      </w:r>
      <w:r>
        <w:rPr>
          <w:rFonts w:ascii="Arial" w:hAnsi="Arial" w:cs="Arial"/>
          <w:sz w:val="22"/>
          <w:szCs w:val="22"/>
        </w:rPr>
        <w:t>feet</w:t>
      </w:r>
      <w:r>
        <w:rPr>
          <w:rFonts w:ascii="Arial" w:hAnsi="Arial" w:cs="Arial"/>
          <w:spacing w:val="-11"/>
          <w:sz w:val="22"/>
          <w:szCs w:val="22"/>
        </w:rPr>
        <w:t xml:space="preserve"> </w:t>
      </w:r>
      <w:r>
        <w:rPr>
          <w:rFonts w:ascii="Arial" w:hAnsi="Arial" w:cs="Arial"/>
          <w:sz w:val="22"/>
          <w:szCs w:val="22"/>
        </w:rPr>
        <w:t>to</w:t>
      </w:r>
      <w:r>
        <w:rPr>
          <w:rFonts w:ascii="Arial" w:hAnsi="Arial" w:cs="Arial"/>
          <w:spacing w:val="-18"/>
          <w:sz w:val="22"/>
          <w:szCs w:val="22"/>
        </w:rPr>
        <w:t xml:space="preserve"> </w:t>
      </w:r>
      <w:r>
        <w:rPr>
          <w:rFonts w:ascii="Arial" w:hAnsi="Arial" w:cs="Arial"/>
          <w:sz w:val="22"/>
          <w:szCs w:val="22"/>
        </w:rPr>
        <w:t>a</w:t>
      </w:r>
      <w:r>
        <w:rPr>
          <w:rFonts w:ascii="Arial" w:hAnsi="Arial" w:cs="Arial"/>
          <w:spacing w:val="-16"/>
          <w:sz w:val="22"/>
          <w:szCs w:val="22"/>
        </w:rPr>
        <w:t xml:space="preserve"> </w:t>
      </w:r>
      <w:r>
        <w:rPr>
          <w:rFonts w:ascii="Arial" w:hAnsi="Arial" w:cs="Arial"/>
          <w:sz w:val="22"/>
          <w:szCs w:val="22"/>
        </w:rPr>
        <w:t>5/8</w:t>
      </w:r>
      <w:r>
        <w:rPr>
          <w:rFonts w:ascii="Arial" w:hAnsi="Arial" w:cs="Arial"/>
          <w:spacing w:val="-16"/>
          <w:sz w:val="22"/>
          <w:szCs w:val="22"/>
        </w:rPr>
        <w:t xml:space="preserve"> </w:t>
      </w:r>
      <w:r>
        <w:rPr>
          <w:rFonts w:ascii="Arial" w:hAnsi="Arial" w:cs="Arial"/>
          <w:sz w:val="22"/>
          <w:szCs w:val="22"/>
        </w:rPr>
        <w:t>steel</w:t>
      </w:r>
      <w:r>
        <w:rPr>
          <w:rFonts w:ascii="Arial" w:hAnsi="Arial" w:cs="Arial"/>
          <w:spacing w:val="-4"/>
          <w:sz w:val="22"/>
          <w:szCs w:val="22"/>
        </w:rPr>
        <w:t xml:space="preserve"> </w:t>
      </w:r>
      <w:r>
        <w:rPr>
          <w:rFonts w:ascii="Arial" w:hAnsi="Arial" w:cs="Arial"/>
          <w:sz w:val="22"/>
          <w:szCs w:val="22"/>
        </w:rPr>
        <w:t>rod</w:t>
      </w:r>
      <w:r>
        <w:rPr>
          <w:rFonts w:ascii="Arial" w:hAnsi="Arial" w:cs="Arial"/>
          <w:spacing w:val="-11"/>
          <w:sz w:val="22"/>
          <w:szCs w:val="22"/>
        </w:rPr>
        <w:t xml:space="preserve"> </w:t>
      </w:r>
      <w:r>
        <w:rPr>
          <w:rFonts w:ascii="Arial" w:hAnsi="Arial" w:cs="Arial"/>
          <w:sz w:val="22"/>
          <w:szCs w:val="22"/>
        </w:rPr>
        <w:t>and</w:t>
      </w:r>
      <w:r>
        <w:rPr>
          <w:rFonts w:ascii="Arial" w:hAnsi="Arial" w:cs="Arial"/>
          <w:spacing w:val="-10"/>
          <w:sz w:val="22"/>
          <w:szCs w:val="22"/>
        </w:rPr>
        <w:t xml:space="preserve"> </w:t>
      </w:r>
      <w:r>
        <w:rPr>
          <w:rFonts w:ascii="Arial" w:hAnsi="Arial" w:cs="Arial"/>
          <w:sz w:val="22"/>
          <w:szCs w:val="22"/>
        </w:rPr>
        <w:t>cap</w:t>
      </w:r>
      <w:r>
        <w:rPr>
          <w:rFonts w:ascii="Arial" w:hAnsi="Arial" w:cs="Arial"/>
          <w:spacing w:val="-14"/>
          <w:sz w:val="22"/>
          <w:szCs w:val="22"/>
        </w:rPr>
        <w:t xml:space="preserve"> </w:t>
      </w:r>
      <w:r>
        <w:rPr>
          <w:rFonts w:ascii="Arial" w:hAnsi="Arial" w:cs="Arial"/>
          <w:sz w:val="22"/>
          <w:szCs w:val="22"/>
        </w:rPr>
        <w:t>(A.C.L.S., INC.)</w:t>
      </w:r>
      <w:r>
        <w:rPr>
          <w:rFonts w:ascii="Arial" w:hAnsi="Arial" w:cs="Arial"/>
          <w:spacing w:val="-12"/>
          <w:sz w:val="22"/>
          <w:szCs w:val="22"/>
        </w:rPr>
        <w:t xml:space="preserve"> </w:t>
      </w:r>
      <w:r>
        <w:rPr>
          <w:rFonts w:ascii="Arial" w:hAnsi="Arial" w:cs="Arial"/>
          <w:sz w:val="22"/>
          <w:szCs w:val="22"/>
        </w:rPr>
        <w:t>and</w:t>
      </w:r>
      <w:r>
        <w:rPr>
          <w:rFonts w:ascii="Arial" w:hAnsi="Arial" w:cs="Arial"/>
          <w:spacing w:val="-6"/>
          <w:sz w:val="22"/>
          <w:szCs w:val="22"/>
        </w:rPr>
        <w:t xml:space="preserve"> </w:t>
      </w:r>
      <w:r>
        <w:rPr>
          <w:rFonts w:ascii="Arial" w:hAnsi="Arial" w:cs="Arial"/>
          <w:sz w:val="22"/>
          <w:szCs w:val="22"/>
        </w:rPr>
        <w:t>the</w:t>
      </w:r>
      <w:r>
        <w:rPr>
          <w:rFonts w:ascii="Arial" w:hAnsi="Arial" w:cs="Arial"/>
          <w:spacing w:val="-14"/>
          <w:sz w:val="22"/>
          <w:szCs w:val="22"/>
        </w:rPr>
        <w:t xml:space="preserve"> </w:t>
      </w:r>
      <w:r>
        <w:rPr>
          <w:rFonts w:ascii="Arial" w:hAnsi="Arial" w:cs="Arial"/>
          <w:sz w:val="22"/>
          <w:szCs w:val="22"/>
        </w:rPr>
        <w:t>True</w:t>
      </w:r>
      <w:r>
        <w:rPr>
          <w:rFonts w:ascii="Arial" w:hAnsi="Arial" w:cs="Arial"/>
          <w:spacing w:val="-10"/>
          <w:sz w:val="22"/>
          <w:szCs w:val="22"/>
        </w:rPr>
        <w:t xml:space="preserve"> </w:t>
      </w:r>
      <w:r>
        <w:rPr>
          <w:rFonts w:ascii="Arial" w:hAnsi="Arial" w:cs="Arial"/>
          <w:sz w:val="22"/>
          <w:szCs w:val="22"/>
        </w:rPr>
        <w:t>Point</w:t>
      </w:r>
      <w:r>
        <w:rPr>
          <w:rFonts w:ascii="Arial" w:hAnsi="Arial" w:cs="Arial"/>
          <w:spacing w:val="-7"/>
          <w:sz w:val="22"/>
          <w:szCs w:val="22"/>
        </w:rPr>
        <w:t xml:space="preserve"> </w:t>
      </w:r>
      <w:r>
        <w:rPr>
          <w:rFonts w:ascii="Arial" w:hAnsi="Arial" w:cs="Arial"/>
          <w:sz w:val="22"/>
          <w:szCs w:val="22"/>
        </w:rPr>
        <w:t>of</w:t>
      </w:r>
      <w:r>
        <w:rPr>
          <w:rFonts w:ascii="Arial" w:hAnsi="Arial" w:cs="Arial"/>
          <w:spacing w:val="-11"/>
          <w:sz w:val="22"/>
          <w:szCs w:val="22"/>
        </w:rPr>
        <w:t xml:space="preserve"> </w:t>
      </w:r>
      <w:r>
        <w:rPr>
          <w:rFonts w:ascii="Arial" w:hAnsi="Arial" w:cs="Arial"/>
          <w:sz w:val="22"/>
          <w:szCs w:val="22"/>
        </w:rPr>
        <w:t>Beginning;</w:t>
      </w:r>
      <w:r>
        <w:rPr>
          <w:rFonts w:ascii="Arial" w:hAnsi="Arial" w:cs="Arial"/>
          <w:spacing w:val="-6"/>
          <w:sz w:val="22"/>
          <w:szCs w:val="22"/>
        </w:rPr>
        <w:t xml:space="preserve"> </w:t>
      </w:r>
      <w:r>
        <w:rPr>
          <w:rFonts w:ascii="Arial" w:hAnsi="Arial" w:cs="Arial"/>
          <w:sz w:val="22"/>
          <w:szCs w:val="22"/>
        </w:rPr>
        <w:t>thence</w:t>
      </w:r>
      <w:r>
        <w:rPr>
          <w:rFonts w:ascii="Arial" w:hAnsi="Arial" w:cs="Arial"/>
          <w:spacing w:val="-5"/>
          <w:sz w:val="22"/>
          <w:szCs w:val="22"/>
        </w:rPr>
        <w:t xml:space="preserve"> </w:t>
      </w:r>
      <w:r>
        <w:rPr>
          <w:rFonts w:ascii="Arial" w:hAnsi="Arial" w:cs="Arial"/>
          <w:sz w:val="22"/>
          <w:szCs w:val="22"/>
        </w:rPr>
        <w:t>continue</w:t>
      </w:r>
      <w:r>
        <w:rPr>
          <w:rFonts w:ascii="Arial" w:hAnsi="Arial" w:cs="Arial"/>
          <w:spacing w:val="-4"/>
          <w:sz w:val="22"/>
          <w:szCs w:val="22"/>
        </w:rPr>
        <w:t xml:space="preserve"> </w:t>
      </w:r>
      <w:r>
        <w:rPr>
          <w:rFonts w:ascii="Arial" w:hAnsi="Arial" w:cs="Arial"/>
          <w:sz w:val="22"/>
          <w:szCs w:val="22"/>
        </w:rPr>
        <w:t>S</w:t>
      </w:r>
      <w:r>
        <w:rPr>
          <w:rFonts w:ascii="Arial" w:hAnsi="Arial" w:cs="Arial"/>
          <w:spacing w:val="-12"/>
          <w:sz w:val="22"/>
          <w:szCs w:val="22"/>
        </w:rPr>
        <w:t xml:space="preserve"> </w:t>
      </w:r>
      <w:r>
        <w:rPr>
          <w:rFonts w:ascii="Arial" w:hAnsi="Arial" w:cs="Arial"/>
          <w:sz w:val="22"/>
          <w:szCs w:val="22"/>
        </w:rPr>
        <w:t>88°</w:t>
      </w:r>
      <w:r>
        <w:rPr>
          <w:rFonts w:ascii="Arial" w:hAnsi="Arial" w:cs="Arial"/>
          <w:spacing w:val="-20"/>
          <w:sz w:val="22"/>
          <w:szCs w:val="22"/>
        </w:rPr>
        <w:t xml:space="preserve"> </w:t>
      </w:r>
      <w:r>
        <w:rPr>
          <w:rFonts w:ascii="Arial" w:hAnsi="Arial" w:cs="Arial"/>
          <w:sz w:val="22"/>
          <w:szCs w:val="22"/>
        </w:rPr>
        <w:t>56’</w:t>
      </w:r>
      <w:r>
        <w:rPr>
          <w:rFonts w:ascii="Arial" w:hAnsi="Arial" w:cs="Arial"/>
          <w:spacing w:val="-10"/>
          <w:sz w:val="22"/>
          <w:szCs w:val="22"/>
        </w:rPr>
        <w:t xml:space="preserve"> </w:t>
      </w:r>
      <w:r>
        <w:rPr>
          <w:rFonts w:ascii="Arial" w:hAnsi="Arial" w:cs="Arial"/>
          <w:sz w:val="22"/>
          <w:szCs w:val="22"/>
        </w:rPr>
        <w:t>47”</w:t>
      </w:r>
      <w:r>
        <w:rPr>
          <w:rFonts w:ascii="Arial" w:hAnsi="Arial" w:cs="Arial"/>
          <w:spacing w:val="-7"/>
          <w:sz w:val="22"/>
          <w:szCs w:val="22"/>
        </w:rPr>
        <w:t xml:space="preserve"> </w:t>
      </w:r>
      <w:r>
        <w:rPr>
          <w:rFonts w:ascii="Arial" w:hAnsi="Arial" w:cs="Arial"/>
          <w:sz w:val="22"/>
          <w:szCs w:val="22"/>
        </w:rPr>
        <w:t>W.,</w:t>
      </w:r>
      <w:r>
        <w:rPr>
          <w:rFonts w:ascii="Arial" w:hAnsi="Arial" w:cs="Arial"/>
          <w:spacing w:val="-14"/>
          <w:sz w:val="22"/>
          <w:szCs w:val="22"/>
        </w:rPr>
        <w:t xml:space="preserve"> </w:t>
      </w:r>
      <w:r>
        <w:rPr>
          <w:rFonts w:ascii="Arial" w:hAnsi="Arial" w:cs="Arial"/>
          <w:sz w:val="22"/>
          <w:szCs w:val="22"/>
        </w:rPr>
        <w:t>a</w:t>
      </w:r>
      <w:r>
        <w:rPr>
          <w:rFonts w:ascii="Arial" w:hAnsi="Arial" w:cs="Arial"/>
          <w:spacing w:val="-16"/>
          <w:sz w:val="22"/>
          <w:szCs w:val="22"/>
        </w:rPr>
        <w:t xml:space="preserve"> </w:t>
      </w:r>
      <w:r>
        <w:rPr>
          <w:rFonts w:ascii="Arial" w:hAnsi="Arial" w:cs="Arial"/>
          <w:sz w:val="22"/>
          <w:szCs w:val="22"/>
        </w:rPr>
        <w:t>distance</w:t>
      </w:r>
      <w:r>
        <w:rPr>
          <w:rFonts w:ascii="Arial" w:hAnsi="Arial" w:cs="Arial"/>
          <w:spacing w:val="-10"/>
          <w:sz w:val="22"/>
          <w:szCs w:val="22"/>
        </w:rPr>
        <w:t xml:space="preserve"> </w:t>
      </w:r>
      <w:r>
        <w:rPr>
          <w:rFonts w:ascii="Arial" w:hAnsi="Arial" w:cs="Arial"/>
          <w:sz w:val="22"/>
          <w:szCs w:val="22"/>
        </w:rPr>
        <w:t>of</w:t>
      </w:r>
      <w:r>
        <w:rPr>
          <w:rFonts w:ascii="Arial" w:hAnsi="Arial" w:cs="Arial"/>
          <w:spacing w:val="-14"/>
          <w:sz w:val="22"/>
          <w:szCs w:val="22"/>
        </w:rPr>
        <w:t xml:space="preserve"> </w:t>
      </w:r>
      <w:r>
        <w:rPr>
          <w:rFonts w:ascii="Arial" w:hAnsi="Arial" w:cs="Arial"/>
          <w:sz w:val="22"/>
          <w:szCs w:val="22"/>
        </w:rPr>
        <w:t>210.00 feet</w:t>
      </w:r>
      <w:r>
        <w:rPr>
          <w:rFonts w:ascii="Arial" w:hAnsi="Arial" w:cs="Arial"/>
          <w:spacing w:val="-15"/>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a</w:t>
      </w:r>
      <w:r>
        <w:rPr>
          <w:rFonts w:ascii="Arial" w:hAnsi="Arial" w:cs="Arial"/>
          <w:spacing w:val="-24"/>
          <w:sz w:val="22"/>
          <w:szCs w:val="22"/>
        </w:rPr>
        <w:t xml:space="preserve"> </w:t>
      </w:r>
      <w:r>
        <w:rPr>
          <w:rFonts w:ascii="Arial" w:hAnsi="Arial" w:cs="Arial"/>
          <w:sz w:val="22"/>
          <w:szCs w:val="22"/>
        </w:rPr>
        <w:t>5/8”</w:t>
      </w:r>
      <w:r>
        <w:rPr>
          <w:rFonts w:ascii="Arial" w:hAnsi="Arial" w:cs="Arial"/>
          <w:spacing w:val="-21"/>
          <w:sz w:val="22"/>
          <w:szCs w:val="22"/>
        </w:rPr>
        <w:t xml:space="preserve"> </w:t>
      </w:r>
      <w:r>
        <w:rPr>
          <w:rFonts w:ascii="Arial" w:hAnsi="Arial" w:cs="Arial"/>
          <w:sz w:val="22"/>
          <w:szCs w:val="22"/>
        </w:rPr>
        <w:t>steel</w:t>
      </w:r>
      <w:r>
        <w:rPr>
          <w:rFonts w:ascii="Arial" w:hAnsi="Arial" w:cs="Arial"/>
          <w:spacing w:val="-13"/>
          <w:sz w:val="22"/>
          <w:szCs w:val="22"/>
        </w:rPr>
        <w:t xml:space="preserve"> </w:t>
      </w:r>
      <w:r>
        <w:rPr>
          <w:rFonts w:ascii="Arial" w:hAnsi="Arial" w:cs="Arial"/>
          <w:sz w:val="22"/>
          <w:szCs w:val="22"/>
        </w:rPr>
        <w:t>rod</w:t>
      </w:r>
      <w:r>
        <w:rPr>
          <w:rFonts w:ascii="Arial" w:hAnsi="Arial" w:cs="Arial"/>
          <w:spacing w:val="-12"/>
          <w:sz w:val="22"/>
          <w:szCs w:val="22"/>
        </w:rPr>
        <w:t xml:space="preserve"> </w:t>
      </w:r>
      <w:r>
        <w:rPr>
          <w:rFonts w:ascii="Arial" w:hAnsi="Arial" w:cs="Arial"/>
          <w:sz w:val="22"/>
          <w:szCs w:val="22"/>
        </w:rPr>
        <w:t>and</w:t>
      </w:r>
      <w:r>
        <w:rPr>
          <w:rFonts w:ascii="Arial" w:hAnsi="Arial" w:cs="Arial"/>
          <w:spacing w:val="-17"/>
          <w:sz w:val="22"/>
          <w:szCs w:val="22"/>
        </w:rPr>
        <w:t xml:space="preserve"> </w:t>
      </w:r>
      <w:r>
        <w:rPr>
          <w:rFonts w:ascii="Arial" w:hAnsi="Arial" w:cs="Arial"/>
          <w:sz w:val="22"/>
          <w:szCs w:val="22"/>
        </w:rPr>
        <w:t>cap</w:t>
      </w:r>
      <w:r>
        <w:rPr>
          <w:rFonts w:ascii="Arial" w:hAnsi="Arial" w:cs="Arial"/>
          <w:spacing w:val="-22"/>
          <w:sz w:val="22"/>
          <w:szCs w:val="22"/>
        </w:rPr>
        <w:t xml:space="preserve"> </w:t>
      </w:r>
      <w:r>
        <w:rPr>
          <w:rFonts w:ascii="Arial" w:hAnsi="Arial" w:cs="Arial"/>
          <w:sz w:val="22"/>
          <w:szCs w:val="22"/>
        </w:rPr>
        <w:t>(A.C.L.S.,</w:t>
      </w:r>
      <w:r>
        <w:rPr>
          <w:rFonts w:ascii="Arial" w:hAnsi="Arial" w:cs="Arial"/>
          <w:spacing w:val="-4"/>
          <w:sz w:val="22"/>
          <w:szCs w:val="22"/>
        </w:rPr>
        <w:t xml:space="preserve"> </w:t>
      </w:r>
      <w:r>
        <w:rPr>
          <w:rFonts w:ascii="Arial" w:hAnsi="Arial" w:cs="Arial"/>
          <w:sz w:val="22"/>
          <w:szCs w:val="22"/>
        </w:rPr>
        <w:t>INC.);</w:t>
      </w:r>
      <w:r>
        <w:rPr>
          <w:rFonts w:ascii="Arial" w:hAnsi="Arial" w:cs="Arial"/>
          <w:spacing w:val="-16"/>
          <w:sz w:val="22"/>
          <w:szCs w:val="22"/>
        </w:rPr>
        <w:t xml:space="preserve"> </w:t>
      </w:r>
      <w:r>
        <w:rPr>
          <w:rFonts w:ascii="Arial" w:hAnsi="Arial" w:cs="Arial"/>
          <w:sz w:val="22"/>
          <w:szCs w:val="22"/>
        </w:rPr>
        <w:t>thence</w:t>
      </w:r>
      <w:r>
        <w:rPr>
          <w:rFonts w:ascii="Arial" w:hAnsi="Arial" w:cs="Arial"/>
          <w:spacing w:val="-9"/>
          <w:sz w:val="22"/>
          <w:szCs w:val="22"/>
        </w:rPr>
        <w:t xml:space="preserve"> </w:t>
      </w:r>
      <w:r>
        <w:rPr>
          <w:rFonts w:ascii="Arial" w:hAnsi="Arial" w:cs="Arial"/>
          <w:sz w:val="22"/>
          <w:szCs w:val="22"/>
        </w:rPr>
        <w:t>run</w:t>
      </w:r>
      <w:r>
        <w:rPr>
          <w:rFonts w:ascii="Arial" w:hAnsi="Arial" w:cs="Arial"/>
          <w:spacing w:val="-18"/>
          <w:sz w:val="22"/>
          <w:szCs w:val="22"/>
        </w:rPr>
        <w:t xml:space="preserve"> </w:t>
      </w:r>
      <w:r>
        <w:rPr>
          <w:rFonts w:ascii="Arial" w:hAnsi="Arial" w:cs="Arial"/>
          <w:sz w:val="22"/>
          <w:szCs w:val="22"/>
        </w:rPr>
        <w:t>S</w:t>
      </w:r>
      <w:r>
        <w:rPr>
          <w:rFonts w:ascii="Arial" w:hAnsi="Arial" w:cs="Arial"/>
          <w:spacing w:val="-19"/>
          <w:sz w:val="22"/>
          <w:szCs w:val="22"/>
        </w:rPr>
        <w:t xml:space="preserve"> </w:t>
      </w:r>
      <w:r>
        <w:rPr>
          <w:rFonts w:ascii="Arial" w:hAnsi="Arial" w:cs="Arial"/>
          <w:sz w:val="22"/>
          <w:szCs w:val="22"/>
        </w:rPr>
        <w:t>01°</w:t>
      </w:r>
      <w:r>
        <w:rPr>
          <w:rFonts w:ascii="Arial" w:hAnsi="Arial" w:cs="Arial"/>
          <w:spacing w:val="-28"/>
          <w:sz w:val="22"/>
          <w:szCs w:val="22"/>
        </w:rPr>
        <w:t xml:space="preserve"> </w:t>
      </w:r>
      <w:r>
        <w:rPr>
          <w:rFonts w:ascii="Arial" w:hAnsi="Arial" w:cs="Arial"/>
          <w:sz w:val="22"/>
          <w:szCs w:val="22"/>
        </w:rPr>
        <w:t>03’</w:t>
      </w:r>
      <w:r>
        <w:rPr>
          <w:rFonts w:ascii="Arial" w:hAnsi="Arial" w:cs="Arial"/>
          <w:spacing w:val="-18"/>
          <w:sz w:val="22"/>
          <w:szCs w:val="22"/>
        </w:rPr>
        <w:t xml:space="preserve"> </w:t>
      </w:r>
      <w:r>
        <w:rPr>
          <w:rFonts w:ascii="Arial" w:hAnsi="Arial" w:cs="Arial"/>
          <w:sz w:val="22"/>
          <w:szCs w:val="22"/>
        </w:rPr>
        <w:t>13”</w:t>
      </w:r>
      <w:r>
        <w:rPr>
          <w:rFonts w:ascii="Arial" w:hAnsi="Arial" w:cs="Arial"/>
          <w:spacing w:val="-17"/>
          <w:sz w:val="22"/>
          <w:szCs w:val="22"/>
        </w:rPr>
        <w:t xml:space="preserve"> </w:t>
      </w:r>
      <w:r>
        <w:rPr>
          <w:rFonts w:ascii="Arial" w:hAnsi="Arial" w:cs="Arial"/>
          <w:sz w:val="22"/>
          <w:szCs w:val="22"/>
        </w:rPr>
        <w:t>E</w:t>
      </w:r>
      <w:r>
        <w:rPr>
          <w:rFonts w:ascii="Arial" w:hAnsi="Arial" w:cs="Arial"/>
          <w:spacing w:val="-23"/>
          <w:sz w:val="22"/>
          <w:szCs w:val="22"/>
        </w:rPr>
        <w:t xml:space="preserve"> </w:t>
      </w:r>
      <w:r>
        <w:rPr>
          <w:rFonts w:ascii="Arial" w:hAnsi="Arial" w:cs="Arial"/>
          <w:sz w:val="22"/>
          <w:szCs w:val="22"/>
        </w:rPr>
        <w:t>a</w:t>
      </w:r>
      <w:r>
        <w:rPr>
          <w:rFonts w:ascii="Arial" w:hAnsi="Arial" w:cs="Arial"/>
          <w:spacing w:val="-21"/>
          <w:sz w:val="22"/>
          <w:szCs w:val="22"/>
        </w:rPr>
        <w:t xml:space="preserve"> </w:t>
      </w:r>
      <w:r>
        <w:rPr>
          <w:rFonts w:ascii="Arial" w:hAnsi="Arial" w:cs="Arial"/>
          <w:sz w:val="22"/>
          <w:szCs w:val="22"/>
        </w:rPr>
        <w:t>distance</w:t>
      </w:r>
      <w:r>
        <w:rPr>
          <w:rFonts w:ascii="Arial" w:hAnsi="Arial" w:cs="Arial"/>
          <w:spacing w:val="-15"/>
          <w:sz w:val="22"/>
          <w:szCs w:val="22"/>
        </w:rPr>
        <w:t xml:space="preserve"> </w:t>
      </w:r>
      <w:r>
        <w:rPr>
          <w:rFonts w:ascii="Arial" w:hAnsi="Arial" w:cs="Arial"/>
          <w:sz w:val="22"/>
          <w:szCs w:val="22"/>
        </w:rPr>
        <w:t>of</w:t>
      </w:r>
      <w:r>
        <w:rPr>
          <w:rFonts w:ascii="Arial" w:hAnsi="Arial" w:cs="Arial"/>
          <w:spacing w:val="-20"/>
          <w:sz w:val="22"/>
          <w:szCs w:val="22"/>
        </w:rPr>
        <w:t xml:space="preserve"> </w:t>
      </w:r>
      <w:r>
        <w:rPr>
          <w:rFonts w:ascii="Arial" w:hAnsi="Arial" w:cs="Arial"/>
          <w:sz w:val="22"/>
          <w:szCs w:val="22"/>
        </w:rPr>
        <w:t>210.00 feet</w:t>
      </w:r>
      <w:r>
        <w:rPr>
          <w:rFonts w:ascii="Arial" w:hAnsi="Arial" w:cs="Arial"/>
          <w:spacing w:val="-23"/>
          <w:sz w:val="22"/>
          <w:szCs w:val="22"/>
        </w:rPr>
        <w:t xml:space="preserve"> </w:t>
      </w:r>
      <w:r>
        <w:rPr>
          <w:rFonts w:ascii="Arial" w:hAnsi="Arial" w:cs="Arial"/>
          <w:sz w:val="22"/>
          <w:szCs w:val="22"/>
        </w:rPr>
        <w:t>to</w:t>
      </w:r>
      <w:r>
        <w:rPr>
          <w:rFonts w:ascii="Arial" w:hAnsi="Arial" w:cs="Arial"/>
          <w:spacing w:val="-30"/>
          <w:sz w:val="22"/>
          <w:szCs w:val="22"/>
        </w:rPr>
        <w:t xml:space="preserve"> </w:t>
      </w:r>
      <w:r>
        <w:rPr>
          <w:rFonts w:ascii="Arial" w:hAnsi="Arial" w:cs="Arial"/>
          <w:sz w:val="22"/>
          <w:szCs w:val="22"/>
        </w:rPr>
        <w:t>a</w:t>
      </w:r>
      <w:r>
        <w:rPr>
          <w:rFonts w:ascii="Arial" w:hAnsi="Arial" w:cs="Arial"/>
          <w:spacing w:val="-30"/>
          <w:sz w:val="22"/>
          <w:szCs w:val="22"/>
        </w:rPr>
        <w:t xml:space="preserve"> </w:t>
      </w:r>
      <w:r>
        <w:rPr>
          <w:rFonts w:ascii="Arial" w:hAnsi="Arial" w:cs="Arial"/>
          <w:sz w:val="22"/>
          <w:szCs w:val="22"/>
        </w:rPr>
        <w:t>5/8”</w:t>
      </w:r>
      <w:r>
        <w:rPr>
          <w:rFonts w:ascii="Arial" w:hAnsi="Arial" w:cs="Arial"/>
          <w:spacing w:val="-28"/>
          <w:sz w:val="22"/>
          <w:szCs w:val="22"/>
        </w:rPr>
        <w:t xml:space="preserve"> </w:t>
      </w:r>
      <w:r>
        <w:rPr>
          <w:rFonts w:ascii="Arial" w:hAnsi="Arial" w:cs="Arial"/>
          <w:sz w:val="22"/>
          <w:szCs w:val="22"/>
        </w:rPr>
        <w:t>steel</w:t>
      </w:r>
      <w:r>
        <w:rPr>
          <w:rFonts w:ascii="Arial" w:hAnsi="Arial" w:cs="Arial"/>
          <w:spacing w:val="-20"/>
          <w:sz w:val="22"/>
          <w:szCs w:val="22"/>
        </w:rPr>
        <w:t xml:space="preserve"> </w:t>
      </w:r>
      <w:r>
        <w:rPr>
          <w:rFonts w:ascii="Arial" w:hAnsi="Arial" w:cs="Arial"/>
          <w:sz w:val="22"/>
          <w:szCs w:val="22"/>
        </w:rPr>
        <w:t>rod</w:t>
      </w:r>
      <w:r>
        <w:rPr>
          <w:rFonts w:ascii="Arial" w:hAnsi="Arial" w:cs="Arial"/>
          <w:spacing w:val="-24"/>
          <w:sz w:val="22"/>
          <w:szCs w:val="22"/>
        </w:rPr>
        <w:t xml:space="preserve"> </w:t>
      </w:r>
      <w:r>
        <w:rPr>
          <w:rFonts w:ascii="Arial" w:hAnsi="Arial" w:cs="Arial"/>
          <w:sz w:val="22"/>
          <w:szCs w:val="22"/>
        </w:rPr>
        <w:t>and</w:t>
      </w:r>
      <w:r>
        <w:rPr>
          <w:rFonts w:ascii="Arial" w:hAnsi="Arial" w:cs="Arial"/>
          <w:spacing w:val="-24"/>
          <w:sz w:val="22"/>
          <w:szCs w:val="22"/>
        </w:rPr>
        <w:t xml:space="preserve"> </w:t>
      </w:r>
      <w:r>
        <w:rPr>
          <w:rFonts w:ascii="Arial" w:hAnsi="Arial" w:cs="Arial"/>
          <w:sz w:val="22"/>
          <w:szCs w:val="22"/>
        </w:rPr>
        <w:t>cap</w:t>
      </w:r>
      <w:r>
        <w:rPr>
          <w:rFonts w:ascii="Arial" w:hAnsi="Arial" w:cs="Arial"/>
          <w:spacing w:val="-29"/>
          <w:sz w:val="22"/>
          <w:szCs w:val="22"/>
        </w:rPr>
        <w:t xml:space="preserve"> </w:t>
      </w:r>
      <w:r>
        <w:rPr>
          <w:rFonts w:ascii="Arial" w:hAnsi="Arial" w:cs="Arial"/>
          <w:sz w:val="22"/>
          <w:szCs w:val="22"/>
        </w:rPr>
        <w:t>(A.C.L.S.,</w:t>
      </w:r>
      <w:r>
        <w:rPr>
          <w:rFonts w:ascii="Arial" w:hAnsi="Arial" w:cs="Arial"/>
          <w:spacing w:val="-15"/>
          <w:sz w:val="22"/>
          <w:szCs w:val="22"/>
        </w:rPr>
        <w:t xml:space="preserve"> </w:t>
      </w:r>
      <w:r>
        <w:rPr>
          <w:rFonts w:ascii="Arial" w:hAnsi="Arial" w:cs="Arial"/>
          <w:sz w:val="22"/>
          <w:szCs w:val="22"/>
        </w:rPr>
        <w:t>INC.);</w:t>
      </w:r>
      <w:r>
        <w:rPr>
          <w:rFonts w:ascii="Arial" w:hAnsi="Arial" w:cs="Arial"/>
          <w:spacing w:val="-22"/>
          <w:sz w:val="22"/>
          <w:szCs w:val="22"/>
        </w:rPr>
        <w:t xml:space="preserve"> </w:t>
      </w:r>
      <w:r>
        <w:rPr>
          <w:rFonts w:ascii="Arial" w:hAnsi="Arial" w:cs="Arial"/>
          <w:sz w:val="22"/>
          <w:szCs w:val="22"/>
        </w:rPr>
        <w:t>thence</w:t>
      </w:r>
      <w:r>
        <w:rPr>
          <w:rFonts w:ascii="Arial" w:hAnsi="Arial" w:cs="Arial"/>
          <w:spacing w:val="-23"/>
          <w:sz w:val="22"/>
          <w:szCs w:val="22"/>
        </w:rPr>
        <w:t xml:space="preserve"> </w:t>
      </w:r>
      <w:r>
        <w:rPr>
          <w:rFonts w:ascii="Arial" w:hAnsi="Arial" w:cs="Arial"/>
          <w:sz w:val="22"/>
          <w:szCs w:val="22"/>
        </w:rPr>
        <w:t>run</w:t>
      </w:r>
      <w:r>
        <w:rPr>
          <w:rFonts w:ascii="Arial" w:hAnsi="Arial" w:cs="Arial"/>
          <w:spacing w:val="-27"/>
          <w:sz w:val="22"/>
          <w:szCs w:val="22"/>
        </w:rPr>
        <w:t xml:space="preserve"> </w:t>
      </w:r>
      <w:r>
        <w:rPr>
          <w:rFonts w:ascii="Arial" w:hAnsi="Arial" w:cs="Arial"/>
          <w:sz w:val="22"/>
          <w:szCs w:val="22"/>
        </w:rPr>
        <w:t>N</w:t>
      </w:r>
      <w:r>
        <w:rPr>
          <w:rFonts w:ascii="Arial" w:hAnsi="Arial" w:cs="Arial"/>
          <w:spacing w:val="-24"/>
          <w:sz w:val="22"/>
          <w:szCs w:val="22"/>
        </w:rPr>
        <w:t xml:space="preserve"> </w:t>
      </w:r>
      <w:r>
        <w:rPr>
          <w:rFonts w:ascii="Arial" w:hAnsi="Arial" w:cs="Arial"/>
          <w:sz w:val="22"/>
          <w:szCs w:val="22"/>
        </w:rPr>
        <w:t>88°</w:t>
      </w:r>
      <w:r>
        <w:rPr>
          <w:rFonts w:ascii="Arial" w:hAnsi="Arial" w:cs="Arial"/>
          <w:spacing w:val="-34"/>
          <w:sz w:val="22"/>
          <w:szCs w:val="22"/>
        </w:rPr>
        <w:t xml:space="preserve"> </w:t>
      </w:r>
      <w:r>
        <w:rPr>
          <w:rFonts w:ascii="Arial" w:hAnsi="Arial" w:cs="Arial"/>
          <w:sz w:val="22"/>
          <w:szCs w:val="22"/>
        </w:rPr>
        <w:t>56’</w:t>
      </w:r>
      <w:r>
        <w:rPr>
          <w:rFonts w:ascii="Arial" w:hAnsi="Arial" w:cs="Arial"/>
          <w:spacing w:val="-26"/>
          <w:sz w:val="22"/>
          <w:szCs w:val="22"/>
        </w:rPr>
        <w:t xml:space="preserve"> </w:t>
      </w:r>
      <w:r>
        <w:rPr>
          <w:rFonts w:ascii="Arial" w:hAnsi="Arial" w:cs="Arial"/>
          <w:sz w:val="22"/>
          <w:szCs w:val="22"/>
        </w:rPr>
        <w:t>47”</w:t>
      </w:r>
      <w:r>
        <w:rPr>
          <w:rFonts w:ascii="Arial" w:hAnsi="Arial" w:cs="Arial"/>
          <w:spacing w:val="-26"/>
          <w:sz w:val="22"/>
          <w:szCs w:val="22"/>
        </w:rPr>
        <w:t xml:space="preserve"> </w:t>
      </w:r>
      <w:r>
        <w:rPr>
          <w:rFonts w:ascii="Arial" w:hAnsi="Arial" w:cs="Arial"/>
          <w:sz w:val="22"/>
          <w:szCs w:val="22"/>
        </w:rPr>
        <w:t>E.,</w:t>
      </w:r>
      <w:r>
        <w:rPr>
          <w:rFonts w:ascii="Arial" w:hAnsi="Arial" w:cs="Arial"/>
          <w:spacing w:val="-31"/>
          <w:sz w:val="22"/>
          <w:szCs w:val="22"/>
        </w:rPr>
        <w:t xml:space="preserve"> </w:t>
      </w:r>
      <w:r>
        <w:rPr>
          <w:rFonts w:ascii="Arial" w:hAnsi="Arial" w:cs="Arial"/>
          <w:sz w:val="22"/>
          <w:szCs w:val="22"/>
        </w:rPr>
        <w:t>a</w:t>
      </w:r>
      <w:r>
        <w:rPr>
          <w:rFonts w:ascii="Arial" w:hAnsi="Arial" w:cs="Arial"/>
          <w:spacing w:val="-30"/>
          <w:sz w:val="22"/>
          <w:szCs w:val="22"/>
        </w:rPr>
        <w:t xml:space="preserve"> </w:t>
      </w:r>
      <w:r>
        <w:rPr>
          <w:rFonts w:ascii="Arial" w:hAnsi="Arial" w:cs="Arial"/>
          <w:sz w:val="22"/>
          <w:szCs w:val="22"/>
        </w:rPr>
        <w:t>distance</w:t>
      </w:r>
      <w:r>
        <w:rPr>
          <w:rFonts w:ascii="Arial" w:hAnsi="Arial" w:cs="Arial"/>
          <w:spacing w:val="-25"/>
          <w:sz w:val="22"/>
          <w:szCs w:val="22"/>
        </w:rPr>
        <w:t xml:space="preserve"> </w:t>
      </w:r>
      <w:r>
        <w:rPr>
          <w:rFonts w:ascii="Arial" w:hAnsi="Arial" w:cs="Arial"/>
          <w:sz w:val="22"/>
          <w:szCs w:val="22"/>
        </w:rPr>
        <w:t>of</w:t>
      </w:r>
      <w:r>
        <w:rPr>
          <w:rFonts w:ascii="Arial" w:hAnsi="Arial" w:cs="Arial"/>
          <w:spacing w:val="-27"/>
          <w:sz w:val="22"/>
          <w:szCs w:val="22"/>
        </w:rPr>
        <w:t xml:space="preserve"> </w:t>
      </w:r>
      <w:r>
        <w:rPr>
          <w:rFonts w:ascii="Arial" w:hAnsi="Arial" w:cs="Arial"/>
          <w:sz w:val="22"/>
          <w:szCs w:val="22"/>
        </w:rPr>
        <w:t>210.00 feet</w:t>
      </w:r>
      <w:r>
        <w:rPr>
          <w:rFonts w:ascii="Arial" w:hAnsi="Arial" w:cs="Arial"/>
          <w:spacing w:val="-26"/>
          <w:sz w:val="22"/>
          <w:szCs w:val="22"/>
        </w:rPr>
        <w:t xml:space="preserve"> </w:t>
      </w:r>
      <w:r>
        <w:rPr>
          <w:rFonts w:ascii="Arial" w:hAnsi="Arial" w:cs="Arial"/>
          <w:sz w:val="22"/>
          <w:szCs w:val="22"/>
        </w:rPr>
        <w:t>to</w:t>
      </w:r>
      <w:r>
        <w:rPr>
          <w:rFonts w:ascii="Arial" w:hAnsi="Arial" w:cs="Arial"/>
          <w:spacing w:val="-32"/>
          <w:sz w:val="22"/>
          <w:szCs w:val="22"/>
        </w:rPr>
        <w:t xml:space="preserve"> </w:t>
      </w:r>
      <w:r>
        <w:rPr>
          <w:rFonts w:ascii="Arial" w:hAnsi="Arial" w:cs="Arial"/>
          <w:sz w:val="22"/>
          <w:szCs w:val="22"/>
        </w:rPr>
        <w:t>a</w:t>
      </w:r>
      <w:r>
        <w:rPr>
          <w:rFonts w:ascii="Arial" w:hAnsi="Arial" w:cs="Arial"/>
          <w:spacing w:val="-30"/>
          <w:sz w:val="22"/>
          <w:szCs w:val="22"/>
        </w:rPr>
        <w:t xml:space="preserve"> </w:t>
      </w:r>
      <w:r>
        <w:rPr>
          <w:rFonts w:ascii="Arial" w:hAnsi="Arial" w:cs="Arial"/>
          <w:sz w:val="22"/>
          <w:szCs w:val="22"/>
        </w:rPr>
        <w:t>5/8”</w:t>
      </w:r>
      <w:r>
        <w:rPr>
          <w:rFonts w:ascii="Arial" w:hAnsi="Arial" w:cs="Arial"/>
          <w:spacing w:val="-28"/>
          <w:sz w:val="22"/>
          <w:szCs w:val="22"/>
        </w:rPr>
        <w:t xml:space="preserve"> </w:t>
      </w:r>
      <w:r>
        <w:rPr>
          <w:rFonts w:ascii="Arial" w:hAnsi="Arial" w:cs="Arial"/>
          <w:sz w:val="22"/>
          <w:szCs w:val="22"/>
        </w:rPr>
        <w:t>steel</w:t>
      </w:r>
      <w:r>
        <w:rPr>
          <w:rFonts w:ascii="Arial" w:hAnsi="Arial" w:cs="Arial"/>
          <w:spacing w:val="-23"/>
          <w:sz w:val="22"/>
          <w:szCs w:val="22"/>
        </w:rPr>
        <w:t xml:space="preserve"> </w:t>
      </w:r>
      <w:r>
        <w:rPr>
          <w:rFonts w:ascii="Arial" w:hAnsi="Arial" w:cs="Arial"/>
          <w:sz w:val="22"/>
          <w:szCs w:val="22"/>
        </w:rPr>
        <w:t>rod</w:t>
      </w:r>
      <w:r>
        <w:rPr>
          <w:rFonts w:ascii="Arial" w:hAnsi="Arial" w:cs="Arial"/>
          <w:spacing w:val="-29"/>
          <w:sz w:val="22"/>
          <w:szCs w:val="22"/>
        </w:rPr>
        <w:t xml:space="preserve"> </w:t>
      </w:r>
      <w:r>
        <w:rPr>
          <w:rFonts w:ascii="Arial" w:hAnsi="Arial" w:cs="Arial"/>
          <w:sz w:val="22"/>
          <w:szCs w:val="22"/>
        </w:rPr>
        <w:t>and</w:t>
      </w:r>
      <w:r>
        <w:rPr>
          <w:rFonts w:ascii="Arial" w:hAnsi="Arial" w:cs="Arial"/>
          <w:spacing w:val="-26"/>
          <w:sz w:val="22"/>
          <w:szCs w:val="22"/>
        </w:rPr>
        <w:t xml:space="preserve"> </w:t>
      </w:r>
      <w:r>
        <w:rPr>
          <w:rFonts w:ascii="Arial" w:hAnsi="Arial" w:cs="Arial"/>
          <w:sz w:val="22"/>
          <w:szCs w:val="22"/>
        </w:rPr>
        <w:t>cap</w:t>
      </w:r>
      <w:r>
        <w:rPr>
          <w:rFonts w:ascii="Arial" w:hAnsi="Arial" w:cs="Arial"/>
          <w:spacing w:val="-27"/>
          <w:sz w:val="22"/>
          <w:szCs w:val="22"/>
        </w:rPr>
        <w:t xml:space="preserve"> </w:t>
      </w:r>
      <w:r>
        <w:rPr>
          <w:rFonts w:ascii="Arial" w:hAnsi="Arial" w:cs="Arial"/>
          <w:sz w:val="22"/>
          <w:szCs w:val="22"/>
        </w:rPr>
        <w:t>(A.C.L.S.,</w:t>
      </w:r>
      <w:r>
        <w:rPr>
          <w:rFonts w:ascii="Arial" w:hAnsi="Arial" w:cs="Arial"/>
          <w:spacing w:val="-18"/>
          <w:sz w:val="22"/>
          <w:szCs w:val="22"/>
        </w:rPr>
        <w:t xml:space="preserve"> </w:t>
      </w:r>
      <w:r>
        <w:rPr>
          <w:rFonts w:ascii="Arial" w:hAnsi="Arial" w:cs="Arial"/>
          <w:sz w:val="22"/>
          <w:szCs w:val="22"/>
        </w:rPr>
        <w:t>INC.);</w:t>
      </w:r>
      <w:r>
        <w:rPr>
          <w:rFonts w:ascii="Arial" w:hAnsi="Arial" w:cs="Arial"/>
          <w:spacing w:val="-21"/>
          <w:sz w:val="22"/>
          <w:szCs w:val="22"/>
        </w:rPr>
        <w:t xml:space="preserve"> </w:t>
      </w:r>
      <w:r>
        <w:rPr>
          <w:rFonts w:ascii="Arial" w:hAnsi="Arial" w:cs="Arial"/>
          <w:sz w:val="22"/>
          <w:szCs w:val="22"/>
        </w:rPr>
        <w:t>thence</w:t>
      </w:r>
      <w:r>
        <w:rPr>
          <w:rFonts w:ascii="Arial" w:hAnsi="Arial" w:cs="Arial"/>
          <w:spacing w:val="-21"/>
          <w:sz w:val="22"/>
          <w:szCs w:val="22"/>
        </w:rPr>
        <w:t xml:space="preserve"> </w:t>
      </w:r>
      <w:r>
        <w:rPr>
          <w:rFonts w:ascii="Arial" w:hAnsi="Arial" w:cs="Arial"/>
          <w:sz w:val="22"/>
          <w:szCs w:val="22"/>
        </w:rPr>
        <w:t>run</w:t>
      </w:r>
      <w:r>
        <w:rPr>
          <w:rFonts w:ascii="Arial" w:hAnsi="Arial" w:cs="Arial"/>
          <w:spacing w:val="-24"/>
          <w:sz w:val="22"/>
          <w:szCs w:val="22"/>
        </w:rPr>
        <w:t xml:space="preserve"> </w:t>
      </w:r>
      <w:r>
        <w:rPr>
          <w:rFonts w:ascii="Arial" w:hAnsi="Arial" w:cs="Arial"/>
          <w:sz w:val="22"/>
          <w:szCs w:val="22"/>
        </w:rPr>
        <w:t>N</w:t>
      </w:r>
      <w:r>
        <w:rPr>
          <w:rFonts w:ascii="Arial" w:hAnsi="Arial" w:cs="Arial"/>
          <w:spacing w:val="-27"/>
          <w:sz w:val="22"/>
          <w:szCs w:val="22"/>
        </w:rPr>
        <w:t xml:space="preserve"> </w:t>
      </w:r>
      <w:r>
        <w:rPr>
          <w:rFonts w:ascii="Arial" w:hAnsi="Arial" w:cs="Arial"/>
          <w:sz w:val="22"/>
          <w:szCs w:val="22"/>
        </w:rPr>
        <w:t>01°</w:t>
      </w:r>
      <w:r>
        <w:rPr>
          <w:rFonts w:ascii="Arial" w:hAnsi="Arial" w:cs="Arial"/>
          <w:spacing w:val="-32"/>
          <w:sz w:val="22"/>
          <w:szCs w:val="22"/>
        </w:rPr>
        <w:t xml:space="preserve"> </w:t>
      </w:r>
      <w:r>
        <w:rPr>
          <w:rFonts w:ascii="Arial" w:hAnsi="Arial" w:cs="Arial"/>
          <w:sz w:val="22"/>
          <w:szCs w:val="22"/>
        </w:rPr>
        <w:t>03’</w:t>
      </w:r>
      <w:r>
        <w:rPr>
          <w:rFonts w:ascii="Arial" w:hAnsi="Arial" w:cs="Arial"/>
          <w:spacing w:val="-28"/>
          <w:sz w:val="22"/>
          <w:szCs w:val="22"/>
        </w:rPr>
        <w:t xml:space="preserve"> </w:t>
      </w:r>
      <w:r>
        <w:rPr>
          <w:rFonts w:ascii="Arial" w:hAnsi="Arial" w:cs="Arial"/>
          <w:sz w:val="22"/>
          <w:szCs w:val="22"/>
        </w:rPr>
        <w:t>13”</w:t>
      </w:r>
      <w:r>
        <w:rPr>
          <w:rFonts w:ascii="Arial" w:hAnsi="Arial" w:cs="Arial"/>
          <w:spacing w:val="-24"/>
          <w:sz w:val="22"/>
          <w:szCs w:val="22"/>
        </w:rPr>
        <w:t xml:space="preserve"> </w:t>
      </w:r>
      <w:r>
        <w:rPr>
          <w:rFonts w:ascii="Arial" w:hAnsi="Arial" w:cs="Arial"/>
          <w:sz w:val="22"/>
          <w:szCs w:val="22"/>
        </w:rPr>
        <w:t>W,</w:t>
      </w:r>
      <w:r>
        <w:rPr>
          <w:rFonts w:ascii="Arial" w:hAnsi="Arial" w:cs="Arial"/>
          <w:spacing w:val="-31"/>
          <w:sz w:val="22"/>
          <w:szCs w:val="22"/>
        </w:rPr>
        <w:t xml:space="preserve"> </w:t>
      </w:r>
      <w:r>
        <w:rPr>
          <w:rFonts w:ascii="Arial" w:hAnsi="Arial" w:cs="Arial"/>
          <w:sz w:val="22"/>
          <w:szCs w:val="22"/>
        </w:rPr>
        <w:t>a</w:t>
      </w:r>
      <w:r>
        <w:rPr>
          <w:rFonts w:ascii="Arial" w:hAnsi="Arial" w:cs="Arial"/>
          <w:spacing w:val="-33"/>
          <w:sz w:val="22"/>
          <w:szCs w:val="22"/>
        </w:rPr>
        <w:t xml:space="preserve"> </w:t>
      </w:r>
      <w:r>
        <w:rPr>
          <w:rFonts w:ascii="Arial" w:hAnsi="Arial" w:cs="Arial"/>
          <w:sz w:val="22"/>
          <w:szCs w:val="22"/>
        </w:rPr>
        <w:t>distance</w:t>
      </w:r>
      <w:r>
        <w:rPr>
          <w:rFonts w:ascii="Arial" w:hAnsi="Arial" w:cs="Arial"/>
          <w:spacing w:val="-26"/>
          <w:sz w:val="22"/>
          <w:szCs w:val="22"/>
        </w:rPr>
        <w:t xml:space="preserve"> </w:t>
      </w:r>
      <w:r>
        <w:rPr>
          <w:rFonts w:ascii="Arial" w:hAnsi="Arial" w:cs="Arial"/>
          <w:sz w:val="22"/>
          <w:szCs w:val="22"/>
        </w:rPr>
        <w:t>of</w:t>
      </w:r>
      <w:r>
        <w:rPr>
          <w:rFonts w:ascii="Arial" w:hAnsi="Arial" w:cs="Arial"/>
          <w:spacing w:val="-27"/>
          <w:sz w:val="22"/>
          <w:szCs w:val="22"/>
        </w:rPr>
        <w:t xml:space="preserve"> </w:t>
      </w:r>
      <w:r>
        <w:rPr>
          <w:rFonts w:ascii="Arial" w:hAnsi="Arial" w:cs="Arial"/>
          <w:sz w:val="22"/>
          <w:szCs w:val="22"/>
        </w:rPr>
        <w:t>210.00 feet to the True Point of Beginning, containing 1.012 acres more or</w:t>
      </w:r>
      <w:r>
        <w:rPr>
          <w:rFonts w:ascii="Arial" w:hAnsi="Arial" w:cs="Arial"/>
          <w:spacing w:val="-8"/>
          <w:sz w:val="22"/>
          <w:szCs w:val="22"/>
        </w:rPr>
        <w:t xml:space="preserve"> </w:t>
      </w:r>
      <w:r>
        <w:rPr>
          <w:rFonts w:ascii="Arial" w:hAnsi="Arial" w:cs="Arial"/>
          <w:sz w:val="22"/>
          <w:szCs w:val="22"/>
        </w:rPr>
        <w:t>less.</w:t>
      </w:r>
    </w:p>
    <w:p w14:paraId="5D338F03" w14:textId="77777777" w:rsidR="001A3A37" w:rsidRDefault="001A3A37" w:rsidP="0040549B">
      <w:pPr>
        <w:pStyle w:val="BodyText"/>
        <w:spacing w:line="242" w:lineRule="auto"/>
        <w:ind w:right="128"/>
        <w:jc w:val="both"/>
        <w:rPr>
          <w:rFonts w:ascii="Arial" w:hAnsi="Arial" w:cs="Arial"/>
          <w:sz w:val="22"/>
          <w:szCs w:val="22"/>
        </w:rPr>
      </w:pPr>
      <w:r>
        <w:rPr>
          <w:rFonts w:ascii="Arial" w:hAnsi="Arial" w:cs="Arial"/>
          <w:sz w:val="22"/>
          <w:szCs w:val="22"/>
        </w:rPr>
        <w:t>SUBJECT</w:t>
      </w:r>
      <w:r>
        <w:rPr>
          <w:rFonts w:ascii="Arial" w:hAnsi="Arial" w:cs="Arial"/>
          <w:spacing w:val="-41"/>
          <w:sz w:val="22"/>
          <w:szCs w:val="22"/>
        </w:rPr>
        <w:t xml:space="preserve"> </w:t>
      </w:r>
      <w:r>
        <w:rPr>
          <w:rFonts w:ascii="Arial" w:hAnsi="Arial" w:cs="Arial"/>
          <w:sz w:val="22"/>
          <w:szCs w:val="22"/>
        </w:rPr>
        <w:t>TO</w:t>
      </w:r>
      <w:r>
        <w:rPr>
          <w:rFonts w:ascii="Arial" w:hAnsi="Arial" w:cs="Arial"/>
          <w:spacing w:val="-40"/>
          <w:sz w:val="22"/>
          <w:szCs w:val="22"/>
        </w:rPr>
        <w:t xml:space="preserve"> </w:t>
      </w:r>
      <w:r>
        <w:rPr>
          <w:rFonts w:ascii="Arial" w:hAnsi="Arial" w:cs="Arial"/>
          <w:sz w:val="22"/>
          <w:szCs w:val="22"/>
        </w:rPr>
        <w:t>AND</w:t>
      </w:r>
      <w:r>
        <w:rPr>
          <w:rFonts w:ascii="Arial" w:hAnsi="Arial" w:cs="Arial"/>
          <w:spacing w:val="-41"/>
          <w:sz w:val="22"/>
          <w:szCs w:val="22"/>
        </w:rPr>
        <w:t xml:space="preserve"> </w:t>
      </w:r>
      <w:r>
        <w:rPr>
          <w:rFonts w:ascii="Arial" w:hAnsi="Arial" w:cs="Arial"/>
          <w:sz w:val="22"/>
          <w:szCs w:val="22"/>
        </w:rPr>
        <w:t>TOGETHER</w:t>
      </w:r>
      <w:r>
        <w:rPr>
          <w:rFonts w:ascii="Arial" w:hAnsi="Arial" w:cs="Arial"/>
          <w:spacing w:val="-29"/>
          <w:sz w:val="22"/>
          <w:szCs w:val="22"/>
        </w:rPr>
        <w:t xml:space="preserve"> </w:t>
      </w:r>
      <w:r>
        <w:rPr>
          <w:rFonts w:ascii="Arial" w:hAnsi="Arial" w:cs="Arial"/>
          <w:sz w:val="22"/>
          <w:szCs w:val="22"/>
        </w:rPr>
        <w:t>WITH</w:t>
      </w:r>
      <w:r>
        <w:rPr>
          <w:rFonts w:ascii="Arial" w:hAnsi="Arial" w:cs="Arial"/>
          <w:spacing w:val="-41"/>
          <w:sz w:val="22"/>
          <w:szCs w:val="22"/>
        </w:rPr>
        <w:t xml:space="preserve"> </w:t>
      </w:r>
      <w:r>
        <w:rPr>
          <w:rFonts w:ascii="Arial" w:hAnsi="Arial" w:cs="Arial"/>
          <w:sz w:val="22"/>
          <w:szCs w:val="22"/>
        </w:rPr>
        <w:t>an</w:t>
      </w:r>
      <w:r>
        <w:rPr>
          <w:rFonts w:ascii="Arial" w:hAnsi="Arial" w:cs="Arial"/>
          <w:spacing w:val="-43"/>
          <w:sz w:val="22"/>
          <w:szCs w:val="22"/>
        </w:rPr>
        <w:t xml:space="preserve"> </w:t>
      </w:r>
      <w:r>
        <w:rPr>
          <w:rFonts w:ascii="Arial" w:hAnsi="Arial" w:cs="Arial"/>
          <w:sz w:val="22"/>
          <w:szCs w:val="22"/>
        </w:rPr>
        <w:t>easement</w:t>
      </w:r>
      <w:r>
        <w:rPr>
          <w:rFonts w:ascii="Arial" w:hAnsi="Arial" w:cs="Arial"/>
          <w:spacing w:val="-37"/>
          <w:sz w:val="22"/>
          <w:szCs w:val="22"/>
        </w:rPr>
        <w:t xml:space="preserve"> </w:t>
      </w:r>
      <w:r>
        <w:rPr>
          <w:rFonts w:ascii="Arial" w:hAnsi="Arial" w:cs="Arial"/>
          <w:sz w:val="22"/>
          <w:szCs w:val="22"/>
        </w:rPr>
        <w:t>for</w:t>
      </w:r>
      <w:r>
        <w:rPr>
          <w:rFonts w:ascii="Arial" w:hAnsi="Arial" w:cs="Arial"/>
          <w:spacing w:val="-42"/>
          <w:sz w:val="22"/>
          <w:szCs w:val="22"/>
        </w:rPr>
        <w:t xml:space="preserve"> </w:t>
      </w:r>
      <w:r>
        <w:rPr>
          <w:rFonts w:ascii="Arial" w:hAnsi="Arial" w:cs="Arial"/>
          <w:sz w:val="22"/>
          <w:szCs w:val="22"/>
        </w:rPr>
        <w:t>ingress,</w:t>
      </w:r>
      <w:r>
        <w:rPr>
          <w:rFonts w:ascii="Arial" w:hAnsi="Arial" w:cs="Arial"/>
          <w:spacing w:val="-41"/>
          <w:sz w:val="22"/>
          <w:szCs w:val="22"/>
        </w:rPr>
        <w:t xml:space="preserve"> </w:t>
      </w:r>
      <w:r>
        <w:rPr>
          <w:rFonts w:ascii="Arial" w:hAnsi="Arial" w:cs="Arial"/>
          <w:sz w:val="22"/>
          <w:szCs w:val="22"/>
        </w:rPr>
        <w:t>egress,</w:t>
      </w:r>
      <w:r>
        <w:rPr>
          <w:rFonts w:ascii="Arial" w:hAnsi="Arial" w:cs="Arial"/>
          <w:spacing w:val="-40"/>
          <w:sz w:val="22"/>
          <w:szCs w:val="22"/>
        </w:rPr>
        <w:t xml:space="preserve"> </w:t>
      </w:r>
      <w:r>
        <w:rPr>
          <w:rFonts w:ascii="Arial" w:hAnsi="Arial" w:cs="Arial"/>
          <w:sz w:val="22"/>
          <w:szCs w:val="22"/>
        </w:rPr>
        <w:t>and</w:t>
      </w:r>
      <w:r>
        <w:rPr>
          <w:rFonts w:ascii="Arial" w:hAnsi="Arial" w:cs="Arial"/>
          <w:spacing w:val="-41"/>
          <w:sz w:val="22"/>
          <w:szCs w:val="22"/>
        </w:rPr>
        <w:t xml:space="preserve"> </w:t>
      </w:r>
      <w:r>
        <w:rPr>
          <w:rFonts w:ascii="Arial" w:hAnsi="Arial" w:cs="Arial"/>
          <w:sz w:val="22"/>
          <w:szCs w:val="22"/>
        </w:rPr>
        <w:t>public</w:t>
      </w:r>
      <w:r>
        <w:rPr>
          <w:rFonts w:ascii="Arial" w:hAnsi="Arial" w:cs="Arial"/>
          <w:spacing w:val="-38"/>
          <w:sz w:val="22"/>
          <w:szCs w:val="22"/>
        </w:rPr>
        <w:t xml:space="preserve"> </w:t>
      </w:r>
      <w:r>
        <w:rPr>
          <w:rFonts w:ascii="Arial" w:hAnsi="Arial" w:cs="Arial"/>
          <w:sz w:val="22"/>
          <w:szCs w:val="22"/>
        </w:rPr>
        <w:t>utilities</w:t>
      </w:r>
      <w:r>
        <w:rPr>
          <w:rFonts w:ascii="Arial" w:hAnsi="Arial" w:cs="Arial"/>
          <w:spacing w:val="-42"/>
          <w:sz w:val="22"/>
          <w:szCs w:val="22"/>
        </w:rPr>
        <w:t xml:space="preserve"> </w:t>
      </w:r>
      <w:r>
        <w:rPr>
          <w:rFonts w:ascii="Arial" w:hAnsi="Arial" w:cs="Arial"/>
          <w:sz w:val="22"/>
          <w:szCs w:val="22"/>
        </w:rPr>
        <w:t>over, under</w:t>
      </w:r>
      <w:r>
        <w:rPr>
          <w:rFonts w:ascii="Arial" w:hAnsi="Arial" w:cs="Arial"/>
          <w:spacing w:val="-25"/>
          <w:sz w:val="22"/>
          <w:szCs w:val="22"/>
        </w:rPr>
        <w:t xml:space="preserve"> </w:t>
      </w:r>
      <w:r>
        <w:rPr>
          <w:rFonts w:ascii="Arial" w:hAnsi="Arial" w:cs="Arial"/>
          <w:sz w:val="22"/>
          <w:szCs w:val="22"/>
        </w:rPr>
        <w:t>and</w:t>
      </w:r>
      <w:r>
        <w:rPr>
          <w:rFonts w:ascii="Arial" w:hAnsi="Arial" w:cs="Arial"/>
          <w:spacing w:val="-25"/>
          <w:sz w:val="22"/>
          <w:szCs w:val="22"/>
        </w:rPr>
        <w:t xml:space="preserve"> </w:t>
      </w:r>
      <w:r>
        <w:rPr>
          <w:rFonts w:ascii="Arial" w:hAnsi="Arial" w:cs="Arial"/>
          <w:sz w:val="22"/>
          <w:szCs w:val="22"/>
        </w:rPr>
        <w:t>across</w:t>
      </w:r>
      <w:r>
        <w:rPr>
          <w:rFonts w:ascii="Arial" w:hAnsi="Arial" w:cs="Arial"/>
          <w:spacing w:val="-28"/>
          <w:sz w:val="22"/>
          <w:szCs w:val="22"/>
        </w:rPr>
        <w:t xml:space="preserve"> </w:t>
      </w:r>
      <w:r>
        <w:rPr>
          <w:rFonts w:ascii="Arial" w:hAnsi="Arial" w:cs="Arial"/>
          <w:sz w:val="22"/>
          <w:szCs w:val="22"/>
        </w:rPr>
        <w:t>a</w:t>
      </w:r>
      <w:r>
        <w:rPr>
          <w:rFonts w:ascii="Arial" w:hAnsi="Arial" w:cs="Arial"/>
          <w:spacing w:val="-29"/>
          <w:sz w:val="22"/>
          <w:szCs w:val="22"/>
        </w:rPr>
        <w:t xml:space="preserve"> </w:t>
      </w:r>
      <w:r>
        <w:rPr>
          <w:rFonts w:ascii="Arial" w:hAnsi="Arial" w:cs="Arial"/>
          <w:sz w:val="22"/>
          <w:szCs w:val="22"/>
        </w:rPr>
        <w:t>20-foot-wide</w:t>
      </w:r>
      <w:r>
        <w:rPr>
          <w:rFonts w:ascii="Arial" w:hAnsi="Arial" w:cs="Arial"/>
          <w:spacing w:val="-20"/>
          <w:sz w:val="22"/>
          <w:szCs w:val="22"/>
        </w:rPr>
        <w:t xml:space="preserve"> </w:t>
      </w:r>
      <w:r>
        <w:rPr>
          <w:rFonts w:ascii="Arial" w:hAnsi="Arial" w:cs="Arial"/>
          <w:sz w:val="22"/>
          <w:szCs w:val="22"/>
        </w:rPr>
        <w:t>strip</w:t>
      </w:r>
      <w:r>
        <w:rPr>
          <w:rFonts w:ascii="Arial" w:hAnsi="Arial" w:cs="Arial"/>
          <w:spacing w:val="-28"/>
          <w:sz w:val="22"/>
          <w:szCs w:val="22"/>
        </w:rPr>
        <w:t xml:space="preserve"> </w:t>
      </w:r>
      <w:r>
        <w:rPr>
          <w:rFonts w:ascii="Arial" w:hAnsi="Arial" w:cs="Arial"/>
          <w:sz w:val="22"/>
          <w:szCs w:val="22"/>
        </w:rPr>
        <w:t>of</w:t>
      </w:r>
      <w:r>
        <w:rPr>
          <w:rFonts w:ascii="Arial" w:hAnsi="Arial" w:cs="Arial"/>
          <w:spacing w:val="-29"/>
          <w:sz w:val="22"/>
          <w:szCs w:val="22"/>
        </w:rPr>
        <w:t xml:space="preserve"> </w:t>
      </w:r>
      <w:r>
        <w:rPr>
          <w:rFonts w:ascii="Arial" w:hAnsi="Arial" w:cs="Arial"/>
          <w:sz w:val="22"/>
          <w:szCs w:val="22"/>
        </w:rPr>
        <w:t>land,</w:t>
      </w:r>
      <w:r>
        <w:rPr>
          <w:rFonts w:ascii="Arial" w:hAnsi="Arial" w:cs="Arial"/>
          <w:spacing w:val="-30"/>
          <w:sz w:val="22"/>
          <w:szCs w:val="22"/>
        </w:rPr>
        <w:t xml:space="preserve"> </w:t>
      </w:r>
      <w:r>
        <w:rPr>
          <w:rFonts w:ascii="Arial" w:hAnsi="Arial" w:cs="Arial"/>
          <w:sz w:val="22"/>
          <w:szCs w:val="22"/>
        </w:rPr>
        <w:t>said</w:t>
      </w:r>
      <w:r>
        <w:rPr>
          <w:rFonts w:ascii="Arial" w:hAnsi="Arial" w:cs="Arial"/>
          <w:spacing w:val="-25"/>
          <w:sz w:val="22"/>
          <w:szCs w:val="22"/>
        </w:rPr>
        <w:t xml:space="preserve"> </w:t>
      </w:r>
      <w:r>
        <w:rPr>
          <w:rFonts w:ascii="Arial" w:hAnsi="Arial" w:cs="Arial"/>
          <w:sz w:val="22"/>
          <w:szCs w:val="22"/>
        </w:rPr>
        <w:t>strip</w:t>
      </w:r>
      <w:r>
        <w:rPr>
          <w:rFonts w:ascii="Arial" w:hAnsi="Arial" w:cs="Arial"/>
          <w:spacing w:val="-28"/>
          <w:sz w:val="22"/>
          <w:szCs w:val="22"/>
        </w:rPr>
        <w:t xml:space="preserve"> </w:t>
      </w:r>
      <w:r>
        <w:rPr>
          <w:rFonts w:ascii="Arial" w:hAnsi="Arial" w:cs="Arial"/>
          <w:sz w:val="22"/>
          <w:szCs w:val="22"/>
        </w:rPr>
        <w:t>of</w:t>
      </w:r>
      <w:r>
        <w:rPr>
          <w:rFonts w:ascii="Arial" w:hAnsi="Arial" w:cs="Arial"/>
          <w:spacing w:val="-29"/>
          <w:sz w:val="22"/>
          <w:szCs w:val="22"/>
        </w:rPr>
        <w:t xml:space="preserve"> </w:t>
      </w:r>
      <w:r>
        <w:rPr>
          <w:rFonts w:ascii="Arial" w:hAnsi="Arial" w:cs="Arial"/>
          <w:sz w:val="22"/>
          <w:szCs w:val="22"/>
        </w:rPr>
        <w:t>land</w:t>
      </w:r>
      <w:r>
        <w:rPr>
          <w:rFonts w:ascii="Arial" w:hAnsi="Arial" w:cs="Arial"/>
          <w:spacing w:val="-19"/>
          <w:sz w:val="22"/>
          <w:szCs w:val="22"/>
        </w:rPr>
        <w:t xml:space="preserve"> </w:t>
      </w:r>
      <w:r>
        <w:rPr>
          <w:rFonts w:ascii="Arial" w:hAnsi="Arial" w:cs="Arial"/>
          <w:sz w:val="22"/>
          <w:szCs w:val="22"/>
        </w:rPr>
        <w:t>being</w:t>
      </w:r>
      <w:r>
        <w:rPr>
          <w:rFonts w:ascii="Arial" w:hAnsi="Arial" w:cs="Arial"/>
          <w:spacing w:val="-25"/>
          <w:sz w:val="22"/>
          <w:szCs w:val="22"/>
        </w:rPr>
        <w:t xml:space="preserve"> </w:t>
      </w:r>
      <w:r>
        <w:rPr>
          <w:rFonts w:ascii="Arial" w:hAnsi="Arial" w:cs="Arial"/>
          <w:sz w:val="22"/>
          <w:szCs w:val="22"/>
        </w:rPr>
        <w:t>more</w:t>
      </w:r>
      <w:r>
        <w:rPr>
          <w:rFonts w:ascii="Arial" w:hAnsi="Arial" w:cs="Arial"/>
          <w:spacing w:val="-25"/>
          <w:sz w:val="22"/>
          <w:szCs w:val="22"/>
        </w:rPr>
        <w:t xml:space="preserve"> </w:t>
      </w:r>
      <w:r>
        <w:rPr>
          <w:rFonts w:ascii="Arial" w:hAnsi="Arial" w:cs="Arial"/>
          <w:sz w:val="22"/>
          <w:szCs w:val="22"/>
        </w:rPr>
        <w:t>particularly</w:t>
      </w:r>
      <w:r>
        <w:rPr>
          <w:rFonts w:ascii="Arial" w:hAnsi="Arial" w:cs="Arial"/>
          <w:spacing w:val="-21"/>
          <w:sz w:val="22"/>
          <w:szCs w:val="22"/>
        </w:rPr>
        <w:t xml:space="preserve"> </w:t>
      </w:r>
      <w:r>
        <w:rPr>
          <w:rFonts w:ascii="Arial" w:hAnsi="Arial" w:cs="Arial"/>
          <w:sz w:val="22"/>
          <w:szCs w:val="22"/>
        </w:rPr>
        <w:t>described as</w:t>
      </w:r>
      <w:r>
        <w:rPr>
          <w:rFonts w:ascii="Arial" w:hAnsi="Arial" w:cs="Arial"/>
          <w:spacing w:val="-10"/>
          <w:sz w:val="22"/>
          <w:szCs w:val="22"/>
        </w:rPr>
        <w:t xml:space="preserve"> </w:t>
      </w:r>
      <w:r>
        <w:rPr>
          <w:rFonts w:ascii="Arial" w:hAnsi="Arial" w:cs="Arial"/>
          <w:sz w:val="22"/>
          <w:szCs w:val="22"/>
        </w:rPr>
        <w:t>follows:</w:t>
      </w:r>
    </w:p>
    <w:p w14:paraId="1E023D89" w14:textId="77777777" w:rsidR="001A3A37" w:rsidRDefault="001A3A37" w:rsidP="0040549B">
      <w:pPr>
        <w:pStyle w:val="BodyText"/>
        <w:spacing w:line="242" w:lineRule="auto"/>
        <w:ind w:right="128"/>
        <w:jc w:val="both"/>
        <w:rPr>
          <w:rFonts w:ascii="Arial" w:hAnsi="Arial" w:cs="Arial"/>
          <w:sz w:val="22"/>
          <w:szCs w:val="22"/>
        </w:rPr>
      </w:pPr>
      <w:r>
        <w:rPr>
          <w:rFonts w:ascii="Arial" w:hAnsi="Arial" w:cs="Arial"/>
          <w:sz w:val="22"/>
          <w:szCs w:val="22"/>
        </w:rPr>
        <w:t>Commence</w:t>
      </w:r>
      <w:r>
        <w:rPr>
          <w:rFonts w:ascii="Arial" w:hAnsi="Arial" w:cs="Arial"/>
          <w:spacing w:val="-8"/>
          <w:sz w:val="22"/>
          <w:szCs w:val="22"/>
        </w:rPr>
        <w:t xml:space="preserve"> </w:t>
      </w:r>
      <w:r>
        <w:rPr>
          <w:rFonts w:ascii="Arial" w:hAnsi="Arial" w:cs="Arial"/>
          <w:sz w:val="22"/>
          <w:szCs w:val="22"/>
        </w:rPr>
        <w:t>at</w:t>
      </w:r>
      <w:r>
        <w:rPr>
          <w:rFonts w:ascii="Arial" w:hAnsi="Arial" w:cs="Arial"/>
          <w:spacing w:val="-14"/>
          <w:sz w:val="22"/>
          <w:szCs w:val="22"/>
        </w:rPr>
        <w:t xml:space="preserve"> </w:t>
      </w:r>
      <w:r>
        <w:rPr>
          <w:rFonts w:ascii="Arial" w:hAnsi="Arial" w:cs="Arial"/>
          <w:sz w:val="22"/>
          <w:szCs w:val="22"/>
        </w:rPr>
        <w:t>the</w:t>
      </w:r>
      <w:r>
        <w:rPr>
          <w:rFonts w:ascii="Arial" w:hAnsi="Arial" w:cs="Arial"/>
          <w:spacing w:val="-18"/>
          <w:sz w:val="22"/>
          <w:szCs w:val="22"/>
        </w:rPr>
        <w:t xml:space="preserve"> </w:t>
      </w:r>
      <w:r>
        <w:rPr>
          <w:rFonts w:ascii="Arial" w:hAnsi="Arial" w:cs="Arial"/>
          <w:sz w:val="22"/>
          <w:szCs w:val="22"/>
        </w:rPr>
        <w:t>aforementioned</w:t>
      </w:r>
      <w:r>
        <w:rPr>
          <w:rFonts w:ascii="Arial" w:hAnsi="Arial" w:cs="Arial"/>
          <w:spacing w:val="-16"/>
          <w:sz w:val="22"/>
          <w:szCs w:val="22"/>
        </w:rPr>
        <w:t xml:space="preserve"> </w:t>
      </w:r>
      <w:r>
        <w:rPr>
          <w:rFonts w:ascii="Arial" w:hAnsi="Arial" w:cs="Arial"/>
          <w:sz w:val="22"/>
          <w:szCs w:val="22"/>
        </w:rPr>
        <w:t>Southeast</w:t>
      </w:r>
      <w:r>
        <w:rPr>
          <w:rFonts w:ascii="Arial" w:hAnsi="Arial" w:cs="Arial"/>
          <w:spacing w:val="-8"/>
          <w:sz w:val="22"/>
          <w:szCs w:val="22"/>
        </w:rPr>
        <w:t xml:space="preserve"> </w:t>
      </w:r>
      <w:r>
        <w:rPr>
          <w:rFonts w:ascii="Arial" w:hAnsi="Arial" w:cs="Arial"/>
          <w:sz w:val="22"/>
          <w:szCs w:val="22"/>
        </w:rPr>
        <w:t>corner</w:t>
      </w:r>
      <w:r>
        <w:rPr>
          <w:rFonts w:ascii="Arial" w:hAnsi="Arial" w:cs="Arial"/>
          <w:spacing w:val="-16"/>
          <w:sz w:val="22"/>
          <w:szCs w:val="22"/>
        </w:rPr>
        <w:t xml:space="preserve"> </w:t>
      </w:r>
      <w:r>
        <w:rPr>
          <w:rFonts w:ascii="Arial" w:hAnsi="Arial" w:cs="Arial"/>
          <w:sz w:val="22"/>
          <w:szCs w:val="22"/>
        </w:rPr>
        <w:t>of</w:t>
      </w:r>
      <w:r>
        <w:rPr>
          <w:rFonts w:ascii="Arial" w:hAnsi="Arial" w:cs="Arial"/>
          <w:spacing w:val="-14"/>
          <w:sz w:val="22"/>
          <w:szCs w:val="22"/>
        </w:rPr>
        <w:t xml:space="preserve"> </w:t>
      </w:r>
      <w:r>
        <w:rPr>
          <w:rFonts w:ascii="Arial" w:hAnsi="Arial" w:cs="Arial"/>
          <w:sz w:val="22"/>
          <w:szCs w:val="22"/>
        </w:rPr>
        <w:t>Section</w:t>
      </w:r>
      <w:r>
        <w:rPr>
          <w:rFonts w:ascii="Arial" w:hAnsi="Arial" w:cs="Arial"/>
          <w:spacing w:val="-9"/>
          <w:sz w:val="22"/>
          <w:szCs w:val="22"/>
        </w:rPr>
        <w:t xml:space="preserve"> </w:t>
      </w:r>
      <w:r>
        <w:rPr>
          <w:rFonts w:ascii="Arial" w:hAnsi="Arial" w:cs="Arial"/>
          <w:sz w:val="22"/>
          <w:szCs w:val="22"/>
        </w:rPr>
        <w:t>21,</w:t>
      </w:r>
      <w:r>
        <w:rPr>
          <w:rFonts w:ascii="Arial" w:hAnsi="Arial" w:cs="Arial"/>
          <w:spacing w:val="-20"/>
          <w:sz w:val="22"/>
          <w:szCs w:val="22"/>
        </w:rPr>
        <w:t xml:space="preserve"> </w:t>
      </w:r>
      <w:r>
        <w:rPr>
          <w:rFonts w:ascii="Arial" w:hAnsi="Arial" w:cs="Arial"/>
          <w:sz w:val="22"/>
          <w:szCs w:val="22"/>
        </w:rPr>
        <w:t>Township</w:t>
      </w:r>
      <w:r>
        <w:rPr>
          <w:rFonts w:ascii="Arial" w:hAnsi="Arial" w:cs="Arial"/>
          <w:spacing w:val="-11"/>
          <w:sz w:val="22"/>
          <w:szCs w:val="22"/>
        </w:rPr>
        <w:t xml:space="preserve"> </w:t>
      </w:r>
      <w:r>
        <w:rPr>
          <w:rFonts w:ascii="Arial" w:hAnsi="Arial" w:cs="Arial"/>
          <w:sz w:val="22"/>
          <w:szCs w:val="22"/>
        </w:rPr>
        <w:t>9</w:t>
      </w:r>
      <w:r>
        <w:rPr>
          <w:rFonts w:ascii="Arial" w:hAnsi="Arial" w:cs="Arial"/>
          <w:spacing w:val="-20"/>
          <w:sz w:val="22"/>
          <w:szCs w:val="22"/>
        </w:rPr>
        <w:t xml:space="preserve"> </w:t>
      </w:r>
      <w:r>
        <w:rPr>
          <w:rFonts w:ascii="Arial" w:hAnsi="Arial" w:cs="Arial"/>
          <w:sz w:val="22"/>
          <w:szCs w:val="22"/>
        </w:rPr>
        <w:t>South,</w:t>
      </w:r>
      <w:r>
        <w:rPr>
          <w:rFonts w:ascii="Arial" w:hAnsi="Arial" w:cs="Arial"/>
          <w:spacing w:val="-10"/>
          <w:sz w:val="22"/>
          <w:szCs w:val="22"/>
        </w:rPr>
        <w:t xml:space="preserve"> </w:t>
      </w:r>
      <w:r>
        <w:rPr>
          <w:rFonts w:ascii="Arial" w:hAnsi="Arial" w:cs="Arial"/>
          <w:sz w:val="22"/>
          <w:szCs w:val="22"/>
        </w:rPr>
        <w:t>Range</w:t>
      </w:r>
      <w:r>
        <w:rPr>
          <w:rFonts w:ascii="Arial" w:hAnsi="Arial" w:cs="Arial"/>
          <w:spacing w:val="-6"/>
          <w:sz w:val="22"/>
          <w:szCs w:val="22"/>
        </w:rPr>
        <w:t xml:space="preserve"> </w:t>
      </w:r>
      <w:r>
        <w:rPr>
          <w:rFonts w:ascii="Arial" w:hAnsi="Arial" w:cs="Arial"/>
          <w:sz w:val="22"/>
          <w:szCs w:val="22"/>
        </w:rPr>
        <w:t>l7 East</w:t>
      </w:r>
      <w:r>
        <w:rPr>
          <w:rFonts w:ascii="Arial" w:hAnsi="Arial" w:cs="Arial"/>
          <w:spacing w:val="-12"/>
          <w:sz w:val="22"/>
          <w:szCs w:val="22"/>
        </w:rPr>
        <w:t xml:space="preserve"> </w:t>
      </w:r>
      <w:r>
        <w:rPr>
          <w:rFonts w:ascii="Arial" w:hAnsi="Arial" w:cs="Arial"/>
          <w:sz w:val="22"/>
          <w:szCs w:val="22"/>
        </w:rPr>
        <w:t>for</w:t>
      </w:r>
      <w:r>
        <w:rPr>
          <w:rFonts w:ascii="Arial" w:hAnsi="Arial" w:cs="Arial"/>
          <w:spacing w:val="-13"/>
          <w:sz w:val="22"/>
          <w:szCs w:val="22"/>
        </w:rPr>
        <w:t xml:space="preserve"> </w:t>
      </w:r>
      <w:r>
        <w:rPr>
          <w:rFonts w:ascii="Arial" w:hAnsi="Arial" w:cs="Arial"/>
          <w:sz w:val="22"/>
          <w:szCs w:val="22"/>
        </w:rPr>
        <w:t>the</w:t>
      </w:r>
      <w:r>
        <w:rPr>
          <w:rFonts w:ascii="Arial" w:hAnsi="Arial" w:cs="Arial"/>
          <w:spacing w:val="-11"/>
          <w:sz w:val="22"/>
          <w:szCs w:val="22"/>
        </w:rPr>
        <w:t xml:space="preserve"> </w:t>
      </w:r>
      <w:r>
        <w:rPr>
          <w:rFonts w:ascii="Arial" w:hAnsi="Arial" w:cs="Arial"/>
          <w:sz w:val="22"/>
          <w:szCs w:val="22"/>
        </w:rPr>
        <w:t>point</w:t>
      </w:r>
      <w:r>
        <w:rPr>
          <w:rFonts w:ascii="Arial" w:hAnsi="Arial" w:cs="Arial"/>
          <w:spacing w:val="-13"/>
          <w:sz w:val="22"/>
          <w:szCs w:val="22"/>
        </w:rPr>
        <w:t xml:space="preserve"> </w:t>
      </w:r>
      <w:r>
        <w:rPr>
          <w:rFonts w:ascii="Arial" w:hAnsi="Arial" w:cs="Arial"/>
          <w:sz w:val="22"/>
          <w:szCs w:val="22"/>
        </w:rPr>
        <w:t>of</w:t>
      </w:r>
      <w:r>
        <w:rPr>
          <w:rFonts w:ascii="Arial" w:hAnsi="Arial" w:cs="Arial"/>
          <w:spacing w:val="-10"/>
          <w:sz w:val="22"/>
          <w:szCs w:val="22"/>
        </w:rPr>
        <w:t xml:space="preserve"> </w:t>
      </w:r>
      <w:r>
        <w:rPr>
          <w:rFonts w:ascii="Arial" w:hAnsi="Arial" w:cs="Arial"/>
          <w:sz w:val="22"/>
          <w:szCs w:val="22"/>
        </w:rPr>
        <w:t>reference</w:t>
      </w:r>
      <w:r>
        <w:rPr>
          <w:rFonts w:ascii="Arial" w:hAnsi="Arial" w:cs="Arial"/>
          <w:spacing w:val="-5"/>
          <w:sz w:val="22"/>
          <w:szCs w:val="22"/>
        </w:rPr>
        <w:t xml:space="preserve"> </w:t>
      </w:r>
      <w:r>
        <w:rPr>
          <w:rFonts w:ascii="Arial" w:hAnsi="Arial" w:cs="Arial"/>
          <w:sz w:val="22"/>
          <w:szCs w:val="22"/>
        </w:rPr>
        <w:t>and</w:t>
      </w:r>
      <w:r>
        <w:rPr>
          <w:rFonts w:ascii="Arial" w:hAnsi="Arial" w:cs="Arial"/>
          <w:spacing w:val="-2"/>
          <w:sz w:val="22"/>
          <w:szCs w:val="22"/>
        </w:rPr>
        <w:t xml:space="preserve"> </w:t>
      </w:r>
      <w:r>
        <w:rPr>
          <w:rFonts w:ascii="Arial" w:hAnsi="Arial" w:cs="Arial"/>
          <w:sz w:val="22"/>
          <w:szCs w:val="22"/>
        </w:rPr>
        <w:t>run</w:t>
      </w:r>
      <w:r>
        <w:rPr>
          <w:rFonts w:ascii="Arial" w:hAnsi="Arial" w:cs="Arial"/>
          <w:spacing w:val="-7"/>
          <w:sz w:val="22"/>
          <w:szCs w:val="22"/>
        </w:rPr>
        <w:t xml:space="preserve"> </w:t>
      </w:r>
      <w:r>
        <w:rPr>
          <w:rFonts w:ascii="Arial" w:hAnsi="Arial" w:cs="Arial"/>
          <w:sz w:val="22"/>
          <w:szCs w:val="22"/>
        </w:rPr>
        <w:t>N</w:t>
      </w:r>
      <w:r>
        <w:rPr>
          <w:rFonts w:ascii="Arial" w:hAnsi="Arial" w:cs="Arial"/>
          <w:spacing w:val="-13"/>
          <w:sz w:val="22"/>
          <w:szCs w:val="22"/>
        </w:rPr>
        <w:t xml:space="preserve"> </w:t>
      </w:r>
      <w:r>
        <w:rPr>
          <w:rFonts w:ascii="Arial" w:hAnsi="Arial" w:cs="Arial"/>
          <w:sz w:val="22"/>
          <w:szCs w:val="22"/>
        </w:rPr>
        <w:t>89°</w:t>
      </w:r>
      <w:r>
        <w:rPr>
          <w:rFonts w:ascii="Arial" w:hAnsi="Arial" w:cs="Arial"/>
          <w:spacing w:val="-19"/>
          <w:sz w:val="22"/>
          <w:szCs w:val="22"/>
        </w:rPr>
        <w:t xml:space="preserve"> </w:t>
      </w:r>
      <w:r>
        <w:rPr>
          <w:rFonts w:ascii="Arial" w:hAnsi="Arial" w:cs="Arial"/>
          <w:sz w:val="22"/>
          <w:szCs w:val="22"/>
        </w:rPr>
        <w:t>05’</w:t>
      </w:r>
      <w:r>
        <w:rPr>
          <w:rFonts w:ascii="Arial" w:hAnsi="Arial" w:cs="Arial"/>
          <w:spacing w:val="-8"/>
          <w:sz w:val="22"/>
          <w:szCs w:val="22"/>
        </w:rPr>
        <w:t xml:space="preserve"> </w:t>
      </w:r>
      <w:r>
        <w:rPr>
          <w:rFonts w:ascii="Arial" w:hAnsi="Arial" w:cs="Arial"/>
          <w:sz w:val="22"/>
          <w:szCs w:val="22"/>
        </w:rPr>
        <w:t>07”</w:t>
      </w:r>
      <w:r>
        <w:rPr>
          <w:rFonts w:ascii="Arial" w:hAnsi="Arial" w:cs="Arial"/>
          <w:spacing w:val="-10"/>
          <w:sz w:val="22"/>
          <w:szCs w:val="22"/>
        </w:rPr>
        <w:t xml:space="preserve"> </w:t>
      </w:r>
      <w:r>
        <w:rPr>
          <w:rFonts w:ascii="Arial" w:hAnsi="Arial" w:cs="Arial"/>
          <w:sz w:val="22"/>
          <w:szCs w:val="22"/>
        </w:rPr>
        <w:t>E,</w:t>
      </w:r>
      <w:r>
        <w:rPr>
          <w:rFonts w:ascii="Arial" w:hAnsi="Arial" w:cs="Arial"/>
          <w:spacing w:val="-21"/>
          <w:sz w:val="22"/>
          <w:szCs w:val="22"/>
        </w:rPr>
        <w:t xml:space="preserve"> </w:t>
      </w:r>
      <w:r>
        <w:rPr>
          <w:rFonts w:ascii="Arial" w:hAnsi="Arial" w:cs="Arial"/>
          <w:sz w:val="22"/>
          <w:szCs w:val="22"/>
        </w:rPr>
        <w:t>along</w:t>
      </w:r>
      <w:r>
        <w:rPr>
          <w:rFonts w:ascii="Arial" w:hAnsi="Arial" w:cs="Arial"/>
          <w:spacing w:val="-11"/>
          <w:sz w:val="22"/>
          <w:szCs w:val="22"/>
        </w:rPr>
        <w:t xml:space="preserve"> </w:t>
      </w:r>
      <w:r>
        <w:rPr>
          <w:rFonts w:ascii="Arial" w:hAnsi="Arial" w:cs="Arial"/>
          <w:sz w:val="22"/>
          <w:szCs w:val="22"/>
        </w:rPr>
        <w:t>the</w:t>
      </w:r>
      <w:r>
        <w:rPr>
          <w:rFonts w:ascii="Arial" w:hAnsi="Arial" w:cs="Arial"/>
          <w:spacing w:val="-12"/>
          <w:sz w:val="22"/>
          <w:szCs w:val="22"/>
        </w:rPr>
        <w:t xml:space="preserve"> </w:t>
      </w:r>
      <w:r>
        <w:rPr>
          <w:rFonts w:ascii="Arial" w:hAnsi="Arial" w:cs="Arial"/>
          <w:sz w:val="22"/>
          <w:szCs w:val="22"/>
        </w:rPr>
        <w:t>aforementioned</w:t>
      </w:r>
      <w:r>
        <w:rPr>
          <w:rFonts w:ascii="Arial" w:hAnsi="Arial" w:cs="Arial"/>
          <w:spacing w:val="-11"/>
          <w:sz w:val="22"/>
          <w:szCs w:val="22"/>
        </w:rPr>
        <w:t xml:space="preserve"> </w:t>
      </w:r>
      <w:r>
        <w:rPr>
          <w:rFonts w:ascii="Arial" w:hAnsi="Arial" w:cs="Arial"/>
          <w:sz w:val="22"/>
          <w:szCs w:val="22"/>
        </w:rPr>
        <w:t>South</w:t>
      </w:r>
      <w:r>
        <w:rPr>
          <w:rFonts w:ascii="Arial" w:hAnsi="Arial" w:cs="Arial"/>
          <w:spacing w:val="-6"/>
          <w:sz w:val="22"/>
          <w:szCs w:val="22"/>
        </w:rPr>
        <w:t xml:space="preserve"> </w:t>
      </w:r>
      <w:r>
        <w:rPr>
          <w:rFonts w:ascii="Arial" w:hAnsi="Arial" w:cs="Arial"/>
          <w:sz w:val="22"/>
          <w:szCs w:val="22"/>
        </w:rPr>
        <w:t>line</w:t>
      </w:r>
      <w:r>
        <w:rPr>
          <w:rFonts w:ascii="Arial" w:hAnsi="Arial" w:cs="Arial"/>
          <w:spacing w:val="-14"/>
          <w:sz w:val="22"/>
          <w:szCs w:val="22"/>
        </w:rPr>
        <w:t xml:space="preserve"> </w:t>
      </w:r>
      <w:r>
        <w:rPr>
          <w:rFonts w:ascii="Arial" w:hAnsi="Arial" w:cs="Arial"/>
          <w:sz w:val="22"/>
          <w:szCs w:val="22"/>
        </w:rPr>
        <w:t>of Section</w:t>
      </w:r>
      <w:r>
        <w:rPr>
          <w:rFonts w:ascii="Arial" w:hAnsi="Arial" w:cs="Arial"/>
          <w:spacing w:val="-36"/>
          <w:sz w:val="22"/>
          <w:szCs w:val="22"/>
        </w:rPr>
        <w:t xml:space="preserve"> </w:t>
      </w:r>
      <w:r>
        <w:rPr>
          <w:rFonts w:ascii="Arial" w:hAnsi="Arial" w:cs="Arial"/>
          <w:sz w:val="22"/>
          <w:szCs w:val="22"/>
        </w:rPr>
        <w:t>22,</w:t>
      </w:r>
      <w:r>
        <w:rPr>
          <w:rFonts w:ascii="Arial" w:hAnsi="Arial" w:cs="Arial"/>
          <w:spacing w:val="-42"/>
          <w:sz w:val="22"/>
          <w:szCs w:val="22"/>
        </w:rPr>
        <w:t xml:space="preserve"> </w:t>
      </w:r>
      <w:r>
        <w:rPr>
          <w:rFonts w:ascii="Arial" w:hAnsi="Arial" w:cs="Arial"/>
          <w:sz w:val="22"/>
          <w:szCs w:val="22"/>
        </w:rPr>
        <w:t>Township</w:t>
      </w:r>
      <w:r>
        <w:rPr>
          <w:rFonts w:ascii="Arial" w:hAnsi="Arial" w:cs="Arial"/>
          <w:spacing w:val="-33"/>
          <w:sz w:val="22"/>
          <w:szCs w:val="22"/>
        </w:rPr>
        <w:t xml:space="preserve"> </w:t>
      </w:r>
      <w:r>
        <w:rPr>
          <w:rFonts w:ascii="Arial" w:hAnsi="Arial" w:cs="Arial"/>
          <w:sz w:val="22"/>
          <w:szCs w:val="22"/>
        </w:rPr>
        <w:t>9</w:t>
      </w:r>
      <w:r>
        <w:rPr>
          <w:rFonts w:ascii="Arial" w:hAnsi="Arial" w:cs="Arial"/>
          <w:spacing w:val="-44"/>
          <w:sz w:val="22"/>
          <w:szCs w:val="22"/>
        </w:rPr>
        <w:t xml:space="preserve"> </w:t>
      </w:r>
      <w:r>
        <w:rPr>
          <w:rFonts w:ascii="Arial" w:hAnsi="Arial" w:cs="Arial"/>
          <w:sz w:val="22"/>
          <w:szCs w:val="22"/>
        </w:rPr>
        <w:t>South,</w:t>
      </w:r>
      <w:r>
        <w:rPr>
          <w:rFonts w:ascii="Arial" w:hAnsi="Arial" w:cs="Arial"/>
          <w:spacing w:val="-35"/>
          <w:sz w:val="22"/>
          <w:szCs w:val="22"/>
        </w:rPr>
        <w:t xml:space="preserve"> </w:t>
      </w:r>
      <w:r>
        <w:rPr>
          <w:rFonts w:ascii="Arial" w:hAnsi="Arial" w:cs="Arial"/>
          <w:sz w:val="22"/>
          <w:szCs w:val="22"/>
        </w:rPr>
        <w:t>Range</w:t>
      </w:r>
      <w:r>
        <w:rPr>
          <w:rFonts w:ascii="Arial" w:hAnsi="Arial" w:cs="Arial"/>
          <w:spacing w:val="-38"/>
          <w:sz w:val="22"/>
          <w:szCs w:val="22"/>
        </w:rPr>
        <w:t xml:space="preserve"> </w:t>
      </w:r>
      <w:r>
        <w:rPr>
          <w:rFonts w:ascii="Arial" w:hAnsi="Arial" w:cs="Arial"/>
          <w:sz w:val="22"/>
          <w:szCs w:val="22"/>
        </w:rPr>
        <w:t>17</w:t>
      </w:r>
      <w:r>
        <w:rPr>
          <w:rFonts w:ascii="Arial" w:hAnsi="Arial" w:cs="Arial"/>
          <w:spacing w:val="-38"/>
          <w:sz w:val="22"/>
          <w:szCs w:val="22"/>
        </w:rPr>
        <w:t xml:space="preserve"> </w:t>
      </w:r>
      <w:r>
        <w:rPr>
          <w:rFonts w:ascii="Arial" w:hAnsi="Arial" w:cs="Arial"/>
          <w:sz w:val="22"/>
          <w:szCs w:val="22"/>
        </w:rPr>
        <w:t>East,</w:t>
      </w:r>
      <w:r>
        <w:rPr>
          <w:rFonts w:ascii="Arial" w:hAnsi="Arial" w:cs="Arial"/>
          <w:spacing w:val="-39"/>
          <w:sz w:val="22"/>
          <w:szCs w:val="22"/>
        </w:rPr>
        <w:t xml:space="preserve"> </w:t>
      </w:r>
      <w:r>
        <w:rPr>
          <w:rFonts w:ascii="Arial" w:hAnsi="Arial" w:cs="Arial"/>
          <w:sz w:val="22"/>
          <w:szCs w:val="22"/>
        </w:rPr>
        <w:t>a</w:t>
      </w:r>
      <w:r>
        <w:rPr>
          <w:rFonts w:ascii="Arial" w:hAnsi="Arial" w:cs="Arial"/>
          <w:spacing w:val="-41"/>
          <w:sz w:val="22"/>
          <w:szCs w:val="22"/>
        </w:rPr>
        <w:t xml:space="preserve"> </w:t>
      </w:r>
      <w:r>
        <w:rPr>
          <w:rFonts w:ascii="Arial" w:hAnsi="Arial" w:cs="Arial"/>
          <w:sz w:val="22"/>
          <w:szCs w:val="22"/>
        </w:rPr>
        <w:t>distance</w:t>
      </w:r>
      <w:r>
        <w:rPr>
          <w:rFonts w:ascii="Arial" w:hAnsi="Arial" w:cs="Arial"/>
          <w:spacing w:val="-38"/>
          <w:sz w:val="22"/>
          <w:szCs w:val="22"/>
        </w:rPr>
        <w:t xml:space="preserve"> </w:t>
      </w:r>
      <w:r>
        <w:rPr>
          <w:rFonts w:ascii="Arial" w:hAnsi="Arial" w:cs="Arial"/>
          <w:sz w:val="22"/>
          <w:szCs w:val="22"/>
        </w:rPr>
        <w:t>of 24.17</w:t>
      </w:r>
      <w:r>
        <w:rPr>
          <w:rFonts w:ascii="Arial" w:hAnsi="Arial" w:cs="Arial"/>
          <w:spacing w:val="-41"/>
          <w:sz w:val="22"/>
          <w:szCs w:val="22"/>
        </w:rPr>
        <w:t xml:space="preserve"> </w:t>
      </w:r>
      <w:r>
        <w:rPr>
          <w:rFonts w:ascii="Arial" w:hAnsi="Arial" w:cs="Arial"/>
          <w:sz w:val="22"/>
          <w:szCs w:val="22"/>
        </w:rPr>
        <w:t>feet</w:t>
      </w:r>
      <w:r>
        <w:rPr>
          <w:rFonts w:ascii="Arial" w:hAnsi="Arial" w:cs="Arial"/>
          <w:spacing w:val="-38"/>
          <w:sz w:val="22"/>
          <w:szCs w:val="22"/>
        </w:rPr>
        <w:t xml:space="preserve"> </w:t>
      </w:r>
      <w:r>
        <w:rPr>
          <w:rFonts w:ascii="Arial" w:hAnsi="Arial" w:cs="Arial"/>
          <w:sz w:val="22"/>
          <w:szCs w:val="22"/>
        </w:rPr>
        <w:t>to</w:t>
      </w:r>
      <w:r>
        <w:rPr>
          <w:rFonts w:ascii="Arial" w:hAnsi="Arial" w:cs="Arial"/>
          <w:spacing w:val="-40"/>
          <w:sz w:val="22"/>
          <w:szCs w:val="22"/>
        </w:rPr>
        <w:t xml:space="preserve"> </w:t>
      </w:r>
      <w:r>
        <w:rPr>
          <w:rFonts w:ascii="Arial" w:hAnsi="Arial" w:cs="Arial"/>
          <w:sz w:val="22"/>
          <w:szCs w:val="22"/>
        </w:rPr>
        <w:t>the</w:t>
      </w:r>
      <w:r>
        <w:rPr>
          <w:rFonts w:ascii="Arial" w:hAnsi="Arial" w:cs="Arial"/>
          <w:spacing w:val="-40"/>
          <w:sz w:val="22"/>
          <w:szCs w:val="22"/>
        </w:rPr>
        <w:t xml:space="preserve"> </w:t>
      </w:r>
      <w:r>
        <w:rPr>
          <w:rFonts w:ascii="Arial" w:hAnsi="Arial" w:cs="Arial"/>
          <w:sz w:val="22"/>
          <w:szCs w:val="22"/>
        </w:rPr>
        <w:t>aforementioned</w:t>
      </w:r>
      <w:r>
        <w:rPr>
          <w:rFonts w:ascii="Arial" w:hAnsi="Arial" w:cs="Arial"/>
          <w:spacing w:val="-41"/>
          <w:sz w:val="22"/>
          <w:szCs w:val="22"/>
        </w:rPr>
        <w:t xml:space="preserve"> </w:t>
      </w:r>
      <w:r>
        <w:rPr>
          <w:rFonts w:ascii="Arial" w:hAnsi="Arial" w:cs="Arial"/>
          <w:sz w:val="22"/>
          <w:szCs w:val="22"/>
        </w:rPr>
        <w:t>center of</w:t>
      </w:r>
      <w:r>
        <w:rPr>
          <w:rFonts w:ascii="Arial" w:hAnsi="Arial" w:cs="Arial"/>
          <w:spacing w:val="-18"/>
          <w:sz w:val="22"/>
          <w:szCs w:val="22"/>
        </w:rPr>
        <w:t xml:space="preserve"> </w:t>
      </w:r>
      <w:r>
        <w:rPr>
          <w:rFonts w:ascii="Arial" w:hAnsi="Arial" w:cs="Arial"/>
          <w:sz w:val="22"/>
          <w:szCs w:val="22"/>
        </w:rPr>
        <w:t>State</w:t>
      </w:r>
      <w:r>
        <w:rPr>
          <w:rFonts w:ascii="Arial" w:hAnsi="Arial" w:cs="Arial"/>
          <w:spacing w:val="-8"/>
          <w:sz w:val="22"/>
          <w:szCs w:val="22"/>
        </w:rPr>
        <w:t xml:space="preserve"> </w:t>
      </w:r>
      <w:r>
        <w:rPr>
          <w:rFonts w:ascii="Arial" w:hAnsi="Arial" w:cs="Arial"/>
          <w:sz w:val="22"/>
          <w:szCs w:val="22"/>
        </w:rPr>
        <w:t>Road</w:t>
      </w:r>
      <w:r>
        <w:rPr>
          <w:rFonts w:ascii="Arial" w:hAnsi="Arial" w:cs="Arial"/>
          <w:spacing w:val="-3"/>
          <w:sz w:val="22"/>
          <w:szCs w:val="22"/>
        </w:rPr>
        <w:t xml:space="preserve"> </w:t>
      </w:r>
      <w:r>
        <w:rPr>
          <w:rFonts w:ascii="Arial" w:hAnsi="Arial" w:cs="Arial"/>
          <w:sz w:val="22"/>
          <w:szCs w:val="22"/>
        </w:rPr>
        <w:t>No.</w:t>
      </w:r>
      <w:r>
        <w:rPr>
          <w:rFonts w:ascii="Arial" w:hAnsi="Arial" w:cs="Arial"/>
          <w:spacing w:val="-12"/>
          <w:sz w:val="22"/>
          <w:szCs w:val="22"/>
        </w:rPr>
        <w:t xml:space="preserve"> </w:t>
      </w:r>
      <w:r>
        <w:rPr>
          <w:rFonts w:ascii="Arial" w:hAnsi="Arial" w:cs="Arial"/>
          <w:sz w:val="22"/>
          <w:szCs w:val="22"/>
        </w:rPr>
        <w:t>45;</w:t>
      </w:r>
      <w:r>
        <w:rPr>
          <w:rFonts w:ascii="Arial" w:hAnsi="Arial" w:cs="Arial"/>
          <w:spacing w:val="-11"/>
          <w:sz w:val="22"/>
          <w:szCs w:val="22"/>
        </w:rPr>
        <w:t xml:space="preserve"> </w:t>
      </w:r>
      <w:r>
        <w:rPr>
          <w:rFonts w:ascii="Arial" w:hAnsi="Arial" w:cs="Arial"/>
          <w:sz w:val="22"/>
          <w:szCs w:val="22"/>
        </w:rPr>
        <w:t>thence</w:t>
      </w:r>
      <w:r>
        <w:rPr>
          <w:rFonts w:ascii="Arial" w:hAnsi="Arial" w:cs="Arial"/>
          <w:spacing w:val="-6"/>
          <w:sz w:val="22"/>
          <w:szCs w:val="22"/>
        </w:rPr>
        <w:t xml:space="preserve"> </w:t>
      </w:r>
      <w:r>
        <w:rPr>
          <w:rFonts w:ascii="Arial" w:hAnsi="Arial" w:cs="Arial"/>
          <w:sz w:val="22"/>
          <w:szCs w:val="22"/>
        </w:rPr>
        <w:t>run</w:t>
      </w:r>
      <w:r>
        <w:rPr>
          <w:rFonts w:ascii="Arial" w:hAnsi="Arial" w:cs="Arial"/>
          <w:spacing w:val="-9"/>
          <w:sz w:val="22"/>
          <w:szCs w:val="22"/>
        </w:rPr>
        <w:t xml:space="preserve"> </w:t>
      </w:r>
      <w:r>
        <w:rPr>
          <w:rFonts w:ascii="Arial" w:hAnsi="Arial" w:cs="Arial"/>
          <w:sz w:val="22"/>
          <w:szCs w:val="22"/>
        </w:rPr>
        <w:t>N</w:t>
      </w:r>
      <w:r>
        <w:rPr>
          <w:rFonts w:ascii="Arial" w:hAnsi="Arial" w:cs="Arial"/>
          <w:spacing w:val="-13"/>
          <w:sz w:val="22"/>
          <w:szCs w:val="22"/>
        </w:rPr>
        <w:t xml:space="preserve"> </w:t>
      </w:r>
      <w:r>
        <w:rPr>
          <w:rFonts w:ascii="Arial" w:hAnsi="Arial" w:cs="Arial"/>
          <w:sz w:val="22"/>
          <w:szCs w:val="22"/>
        </w:rPr>
        <w:t>01°</w:t>
      </w:r>
      <w:r>
        <w:rPr>
          <w:rFonts w:ascii="Arial" w:hAnsi="Arial" w:cs="Arial"/>
          <w:spacing w:val="-25"/>
          <w:sz w:val="22"/>
          <w:szCs w:val="22"/>
        </w:rPr>
        <w:t xml:space="preserve"> </w:t>
      </w:r>
      <w:r>
        <w:rPr>
          <w:rFonts w:ascii="Arial" w:hAnsi="Arial" w:cs="Arial"/>
          <w:sz w:val="22"/>
          <w:szCs w:val="22"/>
        </w:rPr>
        <w:t>06”</w:t>
      </w:r>
      <w:r>
        <w:rPr>
          <w:rFonts w:ascii="Arial" w:hAnsi="Arial" w:cs="Arial"/>
          <w:spacing w:val="-11"/>
          <w:sz w:val="22"/>
          <w:szCs w:val="22"/>
        </w:rPr>
        <w:t xml:space="preserve"> </w:t>
      </w:r>
      <w:r>
        <w:rPr>
          <w:rFonts w:ascii="Arial" w:hAnsi="Arial" w:cs="Arial"/>
          <w:sz w:val="22"/>
          <w:szCs w:val="22"/>
        </w:rPr>
        <w:t>42”</w:t>
      </w:r>
      <w:r>
        <w:rPr>
          <w:rFonts w:ascii="Arial" w:hAnsi="Arial" w:cs="Arial"/>
          <w:spacing w:val="-9"/>
          <w:sz w:val="22"/>
          <w:szCs w:val="22"/>
        </w:rPr>
        <w:t xml:space="preserve"> </w:t>
      </w:r>
      <w:r>
        <w:rPr>
          <w:rFonts w:ascii="Arial" w:hAnsi="Arial" w:cs="Arial"/>
          <w:sz w:val="22"/>
          <w:szCs w:val="22"/>
        </w:rPr>
        <w:t>W,</w:t>
      </w:r>
      <w:r>
        <w:rPr>
          <w:rFonts w:ascii="Arial" w:hAnsi="Arial" w:cs="Arial"/>
          <w:spacing w:val="-14"/>
          <w:sz w:val="22"/>
          <w:szCs w:val="22"/>
        </w:rPr>
        <w:t xml:space="preserve"> </w:t>
      </w:r>
      <w:r>
        <w:rPr>
          <w:rFonts w:ascii="Arial" w:hAnsi="Arial" w:cs="Arial"/>
          <w:sz w:val="22"/>
          <w:szCs w:val="22"/>
        </w:rPr>
        <w:t>along</w:t>
      </w:r>
      <w:r>
        <w:rPr>
          <w:rFonts w:ascii="Arial" w:hAnsi="Arial" w:cs="Arial"/>
          <w:spacing w:val="-15"/>
          <w:sz w:val="22"/>
          <w:szCs w:val="22"/>
        </w:rPr>
        <w:t xml:space="preserve"> </w:t>
      </w:r>
      <w:r>
        <w:rPr>
          <w:rFonts w:ascii="Arial" w:hAnsi="Arial" w:cs="Arial"/>
          <w:sz w:val="22"/>
          <w:szCs w:val="22"/>
        </w:rPr>
        <w:t>said</w:t>
      </w:r>
      <w:r>
        <w:rPr>
          <w:rFonts w:ascii="Arial" w:hAnsi="Arial" w:cs="Arial"/>
          <w:spacing w:val="-11"/>
          <w:sz w:val="22"/>
          <w:szCs w:val="22"/>
        </w:rPr>
        <w:t xml:space="preserve"> </w:t>
      </w:r>
      <w:r>
        <w:rPr>
          <w:rFonts w:ascii="Arial" w:hAnsi="Arial" w:cs="Arial"/>
          <w:sz w:val="22"/>
          <w:szCs w:val="22"/>
        </w:rPr>
        <w:t>centerline,</w:t>
      </w:r>
      <w:r>
        <w:rPr>
          <w:rFonts w:ascii="Arial" w:hAnsi="Arial" w:cs="Arial"/>
          <w:spacing w:val="-6"/>
          <w:sz w:val="22"/>
          <w:szCs w:val="22"/>
        </w:rPr>
        <w:t xml:space="preserve"> </w:t>
      </w:r>
      <w:r>
        <w:rPr>
          <w:rFonts w:ascii="Arial" w:hAnsi="Arial" w:cs="Arial"/>
          <w:sz w:val="22"/>
          <w:szCs w:val="22"/>
        </w:rPr>
        <w:t>a</w:t>
      </w:r>
      <w:r>
        <w:rPr>
          <w:rFonts w:ascii="Arial" w:hAnsi="Arial" w:cs="Arial"/>
          <w:spacing w:val="-18"/>
          <w:sz w:val="22"/>
          <w:szCs w:val="22"/>
        </w:rPr>
        <w:t xml:space="preserve"> </w:t>
      </w:r>
      <w:r>
        <w:rPr>
          <w:rFonts w:ascii="Arial" w:hAnsi="Arial" w:cs="Arial"/>
          <w:sz w:val="22"/>
          <w:szCs w:val="22"/>
        </w:rPr>
        <w:t>distance</w:t>
      </w:r>
      <w:r>
        <w:rPr>
          <w:rFonts w:ascii="Arial" w:hAnsi="Arial" w:cs="Arial"/>
          <w:spacing w:val="-11"/>
          <w:sz w:val="22"/>
          <w:szCs w:val="22"/>
        </w:rPr>
        <w:t xml:space="preserve"> </w:t>
      </w:r>
      <w:r>
        <w:rPr>
          <w:rFonts w:ascii="Arial" w:hAnsi="Arial" w:cs="Arial"/>
          <w:sz w:val="22"/>
          <w:szCs w:val="22"/>
        </w:rPr>
        <w:t>of</w:t>
      </w:r>
      <w:r>
        <w:rPr>
          <w:rFonts w:ascii="Arial" w:hAnsi="Arial" w:cs="Arial"/>
          <w:spacing w:val="-14"/>
          <w:sz w:val="22"/>
          <w:szCs w:val="22"/>
        </w:rPr>
        <w:t xml:space="preserve"> </w:t>
      </w:r>
      <w:r>
        <w:rPr>
          <w:rFonts w:ascii="Arial" w:hAnsi="Arial" w:cs="Arial"/>
          <w:sz w:val="22"/>
          <w:szCs w:val="22"/>
        </w:rPr>
        <w:t xml:space="preserve">1252.95 </w:t>
      </w:r>
      <w:r>
        <w:rPr>
          <w:rFonts w:ascii="Arial" w:hAnsi="Arial" w:cs="Arial"/>
          <w:sz w:val="22"/>
          <w:szCs w:val="22"/>
        </w:rPr>
        <w:lastRenderedPageBreak/>
        <w:t>feet;</w:t>
      </w:r>
      <w:r>
        <w:rPr>
          <w:rFonts w:ascii="Arial" w:hAnsi="Arial" w:cs="Arial"/>
          <w:spacing w:val="-29"/>
          <w:sz w:val="22"/>
          <w:szCs w:val="22"/>
        </w:rPr>
        <w:t xml:space="preserve"> </w:t>
      </w:r>
      <w:r>
        <w:rPr>
          <w:rFonts w:ascii="Arial" w:hAnsi="Arial" w:cs="Arial"/>
          <w:sz w:val="22"/>
          <w:szCs w:val="22"/>
        </w:rPr>
        <w:t>thence</w:t>
      </w:r>
      <w:r>
        <w:rPr>
          <w:rFonts w:ascii="Arial" w:hAnsi="Arial" w:cs="Arial"/>
          <w:spacing w:val="-21"/>
          <w:sz w:val="22"/>
          <w:szCs w:val="22"/>
        </w:rPr>
        <w:t xml:space="preserve"> </w:t>
      </w:r>
      <w:r>
        <w:rPr>
          <w:rFonts w:ascii="Arial" w:hAnsi="Arial" w:cs="Arial"/>
          <w:sz w:val="22"/>
          <w:szCs w:val="22"/>
        </w:rPr>
        <w:t>run</w:t>
      </w:r>
      <w:r>
        <w:rPr>
          <w:rFonts w:ascii="Arial" w:hAnsi="Arial" w:cs="Arial"/>
          <w:spacing w:val="-29"/>
          <w:sz w:val="22"/>
          <w:szCs w:val="22"/>
        </w:rPr>
        <w:t xml:space="preserve"> </w:t>
      </w:r>
      <w:r>
        <w:rPr>
          <w:rFonts w:ascii="Arial" w:hAnsi="Arial" w:cs="Arial"/>
          <w:sz w:val="22"/>
          <w:szCs w:val="22"/>
        </w:rPr>
        <w:t>S</w:t>
      </w:r>
      <w:r>
        <w:rPr>
          <w:rFonts w:ascii="Arial" w:hAnsi="Arial" w:cs="Arial"/>
          <w:spacing w:val="-29"/>
          <w:sz w:val="22"/>
          <w:szCs w:val="22"/>
        </w:rPr>
        <w:t xml:space="preserve"> </w:t>
      </w:r>
      <w:r>
        <w:rPr>
          <w:rFonts w:ascii="Arial" w:hAnsi="Arial" w:cs="Arial"/>
          <w:sz w:val="22"/>
          <w:szCs w:val="22"/>
        </w:rPr>
        <w:t>88°</w:t>
      </w:r>
      <w:r>
        <w:rPr>
          <w:rFonts w:ascii="Arial" w:hAnsi="Arial" w:cs="Arial"/>
          <w:spacing w:val="-37"/>
          <w:sz w:val="22"/>
          <w:szCs w:val="22"/>
        </w:rPr>
        <w:t xml:space="preserve"> </w:t>
      </w:r>
      <w:r>
        <w:rPr>
          <w:rFonts w:ascii="Arial" w:hAnsi="Arial" w:cs="Arial"/>
          <w:sz w:val="22"/>
          <w:szCs w:val="22"/>
        </w:rPr>
        <w:t>56’</w:t>
      </w:r>
      <w:r>
        <w:rPr>
          <w:rFonts w:ascii="Arial" w:hAnsi="Arial" w:cs="Arial"/>
          <w:spacing w:val="-28"/>
          <w:sz w:val="22"/>
          <w:szCs w:val="22"/>
        </w:rPr>
        <w:t xml:space="preserve"> </w:t>
      </w:r>
      <w:r>
        <w:rPr>
          <w:rFonts w:ascii="Arial" w:hAnsi="Arial" w:cs="Arial"/>
          <w:sz w:val="22"/>
          <w:szCs w:val="22"/>
        </w:rPr>
        <w:t>47”</w:t>
      </w:r>
      <w:r>
        <w:rPr>
          <w:rFonts w:ascii="Arial" w:hAnsi="Arial" w:cs="Arial"/>
          <w:spacing w:val="-24"/>
          <w:sz w:val="22"/>
          <w:szCs w:val="22"/>
        </w:rPr>
        <w:t xml:space="preserve"> </w:t>
      </w:r>
      <w:r>
        <w:rPr>
          <w:rFonts w:ascii="Arial" w:hAnsi="Arial" w:cs="Arial"/>
          <w:sz w:val="22"/>
          <w:szCs w:val="22"/>
        </w:rPr>
        <w:t>W.,</w:t>
      </w:r>
      <w:r>
        <w:rPr>
          <w:rFonts w:ascii="Arial" w:hAnsi="Arial" w:cs="Arial"/>
          <w:spacing w:val="-33"/>
          <w:sz w:val="22"/>
          <w:szCs w:val="22"/>
        </w:rPr>
        <w:t xml:space="preserve"> </w:t>
      </w:r>
      <w:r>
        <w:rPr>
          <w:rFonts w:ascii="Arial" w:hAnsi="Arial" w:cs="Arial"/>
          <w:sz w:val="22"/>
          <w:szCs w:val="22"/>
        </w:rPr>
        <w:t>a</w:t>
      </w:r>
      <w:r>
        <w:rPr>
          <w:rFonts w:ascii="Arial" w:hAnsi="Arial" w:cs="Arial"/>
          <w:spacing w:val="-33"/>
          <w:sz w:val="22"/>
          <w:szCs w:val="22"/>
        </w:rPr>
        <w:t xml:space="preserve"> </w:t>
      </w:r>
      <w:r>
        <w:rPr>
          <w:rFonts w:ascii="Arial" w:hAnsi="Arial" w:cs="Arial"/>
          <w:sz w:val="22"/>
          <w:szCs w:val="22"/>
        </w:rPr>
        <w:t>distance</w:t>
      </w:r>
      <w:r>
        <w:rPr>
          <w:rFonts w:ascii="Arial" w:hAnsi="Arial" w:cs="Arial"/>
          <w:spacing w:val="-21"/>
          <w:sz w:val="22"/>
          <w:szCs w:val="22"/>
        </w:rPr>
        <w:t xml:space="preserve"> </w:t>
      </w:r>
      <w:r>
        <w:rPr>
          <w:rFonts w:ascii="Arial" w:hAnsi="Arial" w:cs="Arial"/>
          <w:sz w:val="22"/>
          <w:szCs w:val="22"/>
        </w:rPr>
        <w:t>of</w:t>
      </w:r>
      <w:r>
        <w:rPr>
          <w:rFonts w:ascii="Arial" w:hAnsi="Arial" w:cs="Arial"/>
          <w:spacing w:val="-29"/>
          <w:sz w:val="22"/>
          <w:szCs w:val="22"/>
        </w:rPr>
        <w:t xml:space="preserve"> </w:t>
      </w:r>
      <w:r>
        <w:rPr>
          <w:rFonts w:ascii="Arial" w:hAnsi="Arial" w:cs="Arial"/>
          <w:sz w:val="22"/>
          <w:szCs w:val="22"/>
        </w:rPr>
        <w:t>60.00</w:t>
      </w:r>
      <w:r>
        <w:rPr>
          <w:rFonts w:ascii="Arial" w:hAnsi="Arial" w:cs="Arial"/>
          <w:spacing w:val="-26"/>
          <w:sz w:val="22"/>
          <w:szCs w:val="22"/>
        </w:rPr>
        <w:t xml:space="preserve"> </w:t>
      </w:r>
      <w:r>
        <w:rPr>
          <w:rFonts w:ascii="Arial" w:hAnsi="Arial" w:cs="Arial"/>
          <w:sz w:val="22"/>
          <w:szCs w:val="22"/>
        </w:rPr>
        <w:t>feet</w:t>
      </w:r>
      <w:r>
        <w:rPr>
          <w:rFonts w:ascii="Arial" w:hAnsi="Arial" w:cs="Arial"/>
          <w:spacing w:val="-25"/>
          <w:sz w:val="22"/>
          <w:szCs w:val="22"/>
        </w:rPr>
        <w:t xml:space="preserve"> </w:t>
      </w:r>
      <w:r>
        <w:rPr>
          <w:rFonts w:ascii="Arial" w:hAnsi="Arial" w:cs="Arial"/>
          <w:sz w:val="22"/>
          <w:szCs w:val="22"/>
        </w:rPr>
        <w:t>to</w:t>
      </w:r>
      <w:r>
        <w:rPr>
          <w:rFonts w:ascii="Arial" w:hAnsi="Arial" w:cs="Arial"/>
          <w:spacing w:val="-30"/>
          <w:sz w:val="22"/>
          <w:szCs w:val="22"/>
        </w:rPr>
        <w:t xml:space="preserve"> </w:t>
      </w:r>
      <w:r>
        <w:rPr>
          <w:rFonts w:ascii="Arial" w:hAnsi="Arial" w:cs="Arial"/>
          <w:sz w:val="22"/>
          <w:szCs w:val="22"/>
        </w:rPr>
        <w:t>the</w:t>
      </w:r>
      <w:r>
        <w:rPr>
          <w:rFonts w:ascii="Arial" w:hAnsi="Arial" w:cs="Arial"/>
          <w:spacing w:val="-30"/>
          <w:sz w:val="22"/>
          <w:szCs w:val="22"/>
        </w:rPr>
        <w:t xml:space="preserve"> </w:t>
      </w:r>
      <w:r>
        <w:rPr>
          <w:rFonts w:ascii="Arial" w:hAnsi="Arial" w:cs="Arial"/>
          <w:sz w:val="22"/>
          <w:szCs w:val="22"/>
        </w:rPr>
        <w:t>East</w:t>
      </w:r>
      <w:r>
        <w:rPr>
          <w:rFonts w:ascii="Arial" w:hAnsi="Arial" w:cs="Arial"/>
          <w:spacing w:val="-22"/>
          <w:sz w:val="22"/>
          <w:szCs w:val="22"/>
        </w:rPr>
        <w:t xml:space="preserve"> </w:t>
      </w:r>
      <w:r>
        <w:rPr>
          <w:rFonts w:ascii="Arial" w:hAnsi="Arial" w:cs="Arial"/>
          <w:sz w:val="22"/>
          <w:szCs w:val="22"/>
        </w:rPr>
        <w:t>right</w:t>
      </w:r>
      <w:r>
        <w:rPr>
          <w:rFonts w:ascii="Arial" w:hAnsi="Arial" w:cs="Arial"/>
          <w:spacing w:val="-25"/>
          <w:sz w:val="22"/>
          <w:szCs w:val="22"/>
        </w:rPr>
        <w:t xml:space="preserve"> </w:t>
      </w:r>
      <w:r>
        <w:rPr>
          <w:rFonts w:ascii="Arial" w:hAnsi="Arial" w:cs="Arial"/>
          <w:sz w:val="22"/>
          <w:szCs w:val="22"/>
        </w:rPr>
        <w:t>of</w:t>
      </w:r>
      <w:r>
        <w:rPr>
          <w:rFonts w:ascii="Arial" w:hAnsi="Arial" w:cs="Arial"/>
          <w:spacing w:val="-26"/>
          <w:sz w:val="22"/>
          <w:szCs w:val="22"/>
        </w:rPr>
        <w:t xml:space="preserve"> </w:t>
      </w:r>
      <w:r>
        <w:rPr>
          <w:rFonts w:ascii="Arial" w:hAnsi="Arial" w:cs="Arial"/>
          <w:sz w:val="22"/>
          <w:szCs w:val="22"/>
        </w:rPr>
        <w:t>way</w:t>
      </w:r>
      <w:r>
        <w:rPr>
          <w:rFonts w:ascii="Arial" w:hAnsi="Arial" w:cs="Arial"/>
          <w:spacing w:val="-21"/>
          <w:sz w:val="22"/>
          <w:szCs w:val="22"/>
        </w:rPr>
        <w:t xml:space="preserve"> </w:t>
      </w:r>
      <w:r>
        <w:rPr>
          <w:rFonts w:ascii="Arial" w:hAnsi="Arial" w:cs="Arial"/>
          <w:sz w:val="22"/>
          <w:szCs w:val="22"/>
        </w:rPr>
        <w:t>line</w:t>
      </w:r>
      <w:r>
        <w:rPr>
          <w:rFonts w:ascii="Arial" w:hAnsi="Arial" w:cs="Arial"/>
          <w:spacing w:val="-29"/>
          <w:sz w:val="22"/>
          <w:szCs w:val="22"/>
        </w:rPr>
        <w:t xml:space="preserve"> </w:t>
      </w:r>
      <w:r>
        <w:rPr>
          <w:rFonts w:ascii="Arial" w:hAnsi="Arial" w:cs="Arial"/>
          <w:sz w:val="22"/>
          <w:szCs w:val="22"/>
        </w:rPr>
        <w:t>of</w:t>
      </w:r>
      <w:r>
        <w:rPr>
          <w:rFonts w:ascii="Arial" w:hAnsi="Arial" w:cs="Arial"/>
          <w:spacing w:val="-27"/>
          <w:sz w:val="22"/>
          <w:szCs w:val="22"/>
        </w:rPr>
        <w:t xml:space="preserve"> </w:t>
      </w:r>
      <w:r>
        <w:rPr>
          <w:rFonts w:ascii="Arial" w:hAnsi="Arial" w:cs="Arial"/>
          <w:sz w:val="22"/>
          <w:szCs w:val="22"/>
        </w:rPr>
        <w:t>said</w:t>
      </w:r>
      <w:r>
        <w:rPr>
          <w:rFonts w:ascii="Arial" w:hAnsi="Arial" w:cs="Arial"/>
          <w:spacing w:val="-24"/>
          <w:sz w:val="22"/>
          <w:szCs w:val="22"/>
        </w:rPr>
        <w:t xml:space="preserve"> </w:t>
      </w:r>
      <w:r>
        <w:rPr>
          <w:rFonts w:ascii="Arial" w:hAnsi="Arial" w:cs="Arial"/>
          <w:sz w:val="22"/>
          <w:szCs w:val="22"/>
        </w:rPr>
        <w:t>State Road</w:t>
      </w:r>
      <w:r>
        <w:rPr>
          <w:rFonts w:ascii="Arial" w:hAnsi="Arial" w:cs="Arial"/>
          <w:spacing w:val="-13"/>
          <w:sz w:val="22"/>
          <w:szCs w:val="22"/>
        </w:rPr>
        <w:t xml:space="preserve"> </w:t>
      </w:r>
      <w:r>
        <w:rPr>
          <w:rFonts w:ascii="Arial" w:hAnsi="Arial" w:cs="Arial"/>
          <w:sz w:val="22"/>
          <w:szCs w:val="22"/>
        </w:rPr>
        <w:t>No.</w:t>
      </w:r>
      <w:r>
        <w:rPr>
          <w:rFonts w:ascii="Arial" w:hAnsi="Arial" w:cs="Arial"/>
          <w:spacing w:val="-18"/>
          <w:sz w:val="22"/>
          <w:szCs w:val="22"/>
        </w:rPr>
        <w:t xml:space="preserve"> </w:t>
      </w:r>
      <w:r>
        <w:rPr>
          <w:rFonts w:ascii="Arial" w:hAnsi="Arial" w:cs="Arial"/>
          <w:sz w:val="22"/>
          <w:szCs w:val="22"/>
        </w:rPr>
        <w:t>34</w:t>
      </w:r>
      <w:r>
        <w:rPr>
          <w:rFonts w:ascii="Arial" w:hAnsi="Arial" w:cs="Arial"/>
          <w:spacing w:val="-20"/>
          <w:sz w:val="22"/>
          <w:szCs w:val="22"/>
        </w:rPr>
        <w:t xml:space="preserve"> </w:t>
      </w:r>
      <w:r>
        <w:rPr>
          <w:rFonts w:ascii="Arial" w:hAnsi="Arial" w:cs="Arial"/>
          <w:sz w:val="22"/>
          <w:szCs w:val="22"/>
        </w:rPr>
        <w:t>and</w:t>
      </w:r>
      <w:r>
        <w:rPr>
          <w:rFonts w:ascii="Arial" w:hAnsi="Arial" w:cs="Arial"/>
          <w:spacing w:val="-15"/>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z w:val="22"/>
          <w:szCs w:val="22"/>
        </w:rPr>
        <w:t>True</w:t>
      </w:r>
      <w:r>
        <w:rPr>
          <w:rFonts w:ascii="Arial" w:hAnsi="Arial" w:cs="Arial"/>
          <w:spacing w:val="-18"/>
          <w:sz w:val="22"/>
          <w:szCs w:val="22"/>
        </w:rPr>
        <w:t xml:space="preserve"> </w:t>
      </w:r>
      <w:r>
        <w:rPr>
          <w:rFonts w:ascii="Arial" w:hAnsi="Arial" w:cs="Arial"/>
          <w:sz w:val="22"/>
          <w:szCs w:val="22"/>
        </w:rPr>
        <w:t>Point</w:t>
      </w:r>
      <w:r>
        <w:rPr>
          <w:rFonts w:ascii="Arial" w:hAnsi="Arial" w:cs="Arial"/>
          <w:spacing w:val="-14"/>
          <w:sz w:val="22"/>
          <w:szCs w:val="22"/>
        </w:rPr>
        <w:t xml:space="preserve"> </w:t>
      </w:r>
      <w:r>
        <w:rPr>
          <w:rFonts w:ascii="Arial" w:hAnsi="Arial" w:cs="Arial"/>
          <w:sz w:val="22"/>
          <w:szCs w:val="22"/>
        </w:rPr>
        <w:t>of</w:t>
      </w:r>
      <w:r>
        <w:rPr>
          <w:rFonts w:ascii="Arial" w:hAnsi="Arial" w:cs="Arial"/>
          <w:spacing w:val="-18"/>
          <w:sz w:val="22"/>
          <w:szCs w:val="22"/>
        </w:rPr>
        <w:t xml:space="preserve"> </w:t>
      </w:r>
      <w:r>
        <w:rPr>
          <w:rFonts w:ascii="Arial" w:hAnsi="Arial" w:cs="Arial"/>
          <w:sz w:val="22"/>
          <w:szCs w:val="22"/>
        </w:rPr>
        <w:t>Beginning</w:t>
      </w:r>
      <w:r>
        <w:rPr>
          <w:rFonts w:ascii="Arial" w:hAnsi="Arial" w:cs="Arial"/>
          <w:spacing w:val="-10"/>
          <w:sz w:val="22"/>
          <w:szCs w:val="22"/>
        </w:rPr>
        <w:t xml:space="preserve"> </w:t>
      </w:r>
      <w:r>
        <w:rPr>
          <w:rFonts w:ascii="Arial" w:hAnsi="Arial" w:cs="Arial"/>
          <w:sz w:val="22"/>
          <w:szCs w:val="22"/>
        </w:rPr>
        <w:t>of</w:t>
      </w:r>
      <w:r>
        <w:rPr>
          <w:rFonts w:ascii="Arial" w:hAnsi="Arial" w:cs="Arial"/>
          <w:spacing w:val="-23"/>
          <w:sz w:val="22"/>
          <w:szCs w:val="22"/>
        </w:rPr>
        <w:t xml:space="preserve"> </w:t>
      </w:r>
      <w:r>
        <w:rPr>
          <w:rFonts w:ascii="Arial" w:hAnsi="Arial" w:cs="Arial"/>
          <w:sz w:val="22"/>
          <w:szCs w:val="22"/>
        </w:rPr>
        <w:t>said</w:t>
      </w:r>
      <w:r>
        <w:rPr>
          <w:rFonts w:ascii="Arial" w:hAnsi="Arial" w:cs="Arial"/>
          <w:spacing w:val="-16"/>
          <w:sz w:val="22"/>
          <w:szCs w:val="22"/>
        </w:rPr>
        <w:t xml:space="preserve"> </w:t>
      </w:r>
      <w:r>
        <w:rPr>
          <w:rFonts w:ascii="Arial" w:hAnsi="Arial" w:cs="Arial"/>
          <w:sz w:val="22"/>
          <w:szCs w:val="22"/>
        </w:rPr>
        <w:t>20</w:t>
      </w:r>
      <w:r>
        <w:rPr>
          <w:rFonts w:ascii="Arial" w:hAnsi="Arial" w:cs="Arial"/>
          <w:spacing w:val="-21"/>
          <w:sz w:val="22"/>
          <w:szCs w:val="22"/>
        </w:rPr>
        <w:t xml:space="preserve"> </w:t>
      </w:r>
      <w:r>
        <w:rPr>
          <w:rFonts w:ascii="Arial" w:hAnsi="Arial" w:cs="Arial"/>
          <w:sz w:val="22"/>
          <w:szCs w:val="22"/>
        </w:rPr>
        <w:t>foot</w:t>
      </w:r>
      <w:r>
        <w:rPr>
          <w:rFonts w:ascii="Arial" w:hAnsi="Arial" w:cs="Arial"/>
          <w:spacing w:val="-19"/>
          <w:sz w:val="22"/>
          <w:szCs w:val="22"/>
        </w:rPr>
        <w:t xml:space="preserve"> </w:t>
      </w:r>
      <w:r>
        <w:rPr>
          <w:rFonts w:ascii="Arial" w:hAnsi="Arial" w:cs="Arial"/>
          <w:sz w:val="22"/>
          <w:szCs w:val="22"/>
        </w:rPr>
        <w:t>strip</w:t>
      </w:r>
      <w:r>
        <w:rPr>
          <w:rFonts w:ascii="Arial" w:hAnsi="Arial" w:cs="Arial"/>
          <w:spacing w:val="-22"/>
          <w:sz w:val="22"/>
          <w:szCs w:val="22"/>
        </w:rPr>
        <w:t xml:space="preserve"> </w:t>
      </w:r>
      <w:r>
        <w:rPr>
          <w:rFonts w:ascii="Arial" w:hAnsi="Arial" w:cs="Arial"/>
          <w:sz w:val="22"/>
          <w:szCs w:val="22"/>
        </w:rPr>
        <w:t>of</w:t>
      </w:r>
      <w:r>
        <w:rPr>
          <w:rFonts w:ascii="Arial" w:hAnsi="Arial" w:cs="Arial"/>
          <w:spacing w:val="-23"/>
          <w:sz w:val="22"/>
          <w:szCs w:val="22"/>
        </w:rPr>
        <w:t xml:space="preserve"> </w:t>
      </w:r>
      <w:r>
        <w:rPr>
          <w:rFonts w:ascii="Arial" w:hAnsi="Arial" w:cs="Arial"/>
          <w:sz w:val="22"/>
          <w:szCs w:val="22"/>
        </w:rPr>
        <w:t>land;</w:t>
      </w:r>
      <w:r>
        <w:rPr>
          <w:rFonts w:ascii="Arial" w:hAnsi="Arial" w:cs="Arial"/>
          <w:spacing w:val="-22"/>
          <w:sz w:val="22"/>
          <w:szCs w:val="22"/>
        </w:rPr>
        <w:t xml:space="preserve"> </w:t>
      </w:r>
      <w:r>
        <w:rPr>
          <w:rFonts w:ascii="Arial" w:hAnsi="Arial" w:cs="Arial"/>
          <w:sz w:val="22"/>
          <w:szCs w:val="22"/>
        </w:rPr>
        <w:t>thence</w:t>
      </w:r>
      <w:r>
        <w:rPr>
          <w:rFonts w:ascii="Arial" w:hAnsi="Arial" w:cs="Arial"/>
          <w:spacing w:val="-12"/>
          <w:sz w:val="22"/>
          <w:szCs w:val="22"/>
        </w:rPr>
        <w:t xml:space="preserve"> </w:t>
      </w:r>
      <w:r>
        <w:rPr>
          <w:rFonts w:ascii="Arial" w:hAnsi="Arial" w:cs="Arial"/>
          <w:sz w:val="22"/>
          <w:szCs w:val="22"/>
        </w:rPr>
        <w:t>continue</w:t>
      </w:r>
      <w:r>
        <w:rPr>
          <w:rFonts w:ascii="Arial" w:hAnsi="Arial" w:cs="Arial"/>
          <w:spacing w:val="-14"/>
          <w:sz w:val="22"/>
          <w:szCs w:val="22"/>
        </w:rPr>
        <w:t xml:space="preserve"> </w:t>
      </w:r>
      <w:r>
        <w:rPr>
          <w:rFonts w:ascii="Arial" w:hAnsi="Arial" w:cs="Arial"/>
          <w:sz w:val="22"/>
          <w:szCs w:val="22"/>
        </w:rPr>
        <w:t>S</w:t>
      </w:r>
      <w:r>
        <w:rPr>
          <w:rFonts w:ascii="Arial" w:hAnsi="Arial" w:cs="Arial"/>
          <w:spacing w:val="-23"/>
          <w:sz w:val="22"/>
          <w:szCs w:val="22"/>
        </w:rPr>
        <w:t xml:space="preserve"> </w:t>
      </w:r>
      <w:r>
        <w:rPr>
          <w:rFonts w:ascii="Arial" w:hAnsi="Arial" w:cs="Arial"/>
          <w:sz w:val="22"/>
          <w:szCs w:val="22"/>
        </w:rPr>
        <w:t>88° 56’</w:t>
      </w:r>
      <w:r>
        <w:rPr>
          <w:rFonts w:ascii="Arial" w:hAnsi="Arial" w:cs="Arial"/>
          <w:spacing w:val="-22"/>
          <w:sz w:val="22"/>
          <w:szCs w:val="22"/>
        </w:rPr>
        <w:t xml:space="preserve"> </w:t>
      </w:r>
      <w:r>
        <w:rPr>
          <w:rFonts w:ascii="Arial" w:hAnsi="Arial" w:cs="Arial"/>
          <w:sz w:val="22"/>
          <w:szCs w:val="22"/>
        </w:rPr>
        <w:t>47”</w:t>
      </w:r>
      <w:r>
        <w:rPr>
          <w:rFonts w:ascii="Arial" w:hAnsi="Arial" w:cs="Arial"/>
          <w:spacing w:val="-17"/>
          <w:sz w:val="22"/>
          <w:szCs w:val="22"/>
        </w:rPr>
        <w:t xml:space="preserve"> </w:t>
      </w:r>
      <w:r>
        <w:rPr>
          <w:rFonts w:ascii="Arial" w:hAnsi="Arial" w:cs="Arial"/>
          <w:sz w:val="22"/>
          <w:szCs w:val="22"/>
        </w:rPr>
        <w:t>W</w:t>
      </w:r>
      <w:r>
        <w:rPr>
          <w:rFonts w:ascii="Arial" w:hAnsi="Arial" w:cs="Arial"/>
          <w:spacing w:val="-24"/>
          <w:sz w:val="22"/>
          <w:szCs w:val="22"/>
        </w:rPr>
        <w:t xml:space="preserve"> </w:t>
      </w:r>
      <w:r>
        <w:rPr>
          <w:rFonts w:ascii="Arial" w:hAnsi="Arial" w:cs="Arial"/>
          <w:sz w:val="22"/>
          <w:szCs w:val="22"/>
        </w:rPr>
        <w:t>a</w:t>
      </w:r>
      <w:r>
        <w:rPr>
          <w:rFonts w:ascii="Arial" w:hAnsi="Arial" w:cs="Arial"/>
          <w:spacing w:val="-25"/>
          <w:sz w:val="22"/>
          <w:szCs w:val="22"/>
        </w:rPr>
        <w:t xml:space="preserve"> </w:t>
      </w:r>
      <w:r>
        <w:rPr>
          <w:rFonts w:ascii="Arial" w:hAnsi="Arial" w:cs="Arial"/>
          <w:sz w:val="22"/>
          <w:szCs w:val="22"/>
        </w:rPr>
        <w:t>distance</w:t>
      </w:r>
      <w:r>
        <w:rPr>
          <w:rFonts w:ascii="Arial" w:hAnsi="Arial" w:cs="Arial"/>
          <w:spacing w:val="25"/>
          <w:sz w:val="22"/>
          <w:szCs w:val="22"/>
        </w:rPr>
        <w:t xml:space="preserve"> </w:t>
      </w:r>
      <w:r>
        <w:rPr>
          <w:rFonts w:ascii="Arial" w:hAnsi="Arial" w:cs="Arial"/>
          <w:sz w:val="22"/>
          <w:szCs w:val="22"/>
        </w:rPr>
        <w:t>of</w:t>
      </w:r>
      <w:r>
        <w:rPr>
          <w:rFonts w:ascii="Arial" w:hAnsi="Arial" w:cs="Arial"/>
          <w:spacing w:val="-16"/>
          <w:sz w:val="22"/>
          <w:szCs w:val="22"/>
        </w:rPr>
        <w:t xml:space="preserve"> </w:t>
      </w:r>
      <w:r>
        <w:rPr>
          <w:rFonts w:ascii="Arial" w:hAnsi="Arial" w:cs="Arial"/>
          <w:sz w:val="22"/>
          <w:szCs w:val="22"/>
        </w:rPr>
        <w:t>559.78</w:t>
      </w:r>
      <w:r>
        <w:rPr>
          <w:rFonts w:ascii="Arial" w:hAnsi="Arial" w:cs="Arial"/>
          <w:spacing w:val="-16"/>
          <w:sz w:val="22"/>
          <w:szCs w:val="22"/>
        </w:rPr>
        <w:t xml:space="preserve"> </w:t>
      </w:r>
      <w:r>
        <w:rPr>
          <w:rFonts w:ascii="Arial" w:hAnsi="Arial" w:cs="Arial"/>
          <w:sz w:val="22"/>
          <w:szCs w:val="22"/>
        </w:rPr>
        <w:t>feet</w:t>
      </w:r>
      <w:r>
        <w:rPr>
          <w:rFonts w:ascii="Arial" w:hAnsi="Arial" w:cs="Arial"/>
          <w:spacing w:val="-15"/>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a</w:t>
      </w:r>
      <w:r>
        <w:rPr>
          <w:rFonts w:ascii="Arial" w:hAnsi="Arial" w:cs="Arial"/>
          <w:spacing w:val="-22"/>
          <w:sz w:val="22"/>
          <w:szCs w:val="22"/>
        </w:rPr>
        <w:t xml:space="preserve"> </w:t>
      </w:r>
      <w:r>
        <w:rPr>
          <w:rFonts w:ascii="Arial" w:hAnsi="Arial" w:cs="Arial"/>
          <w:sz w:val="22"/>
          <w:szCs w:val="22"/>
        </w:rPr>
        <w:t>5/8”</w:t>
      </w:r>
      <w:r>
        <w:rPr>
          <w:rFonts w:ascii="Arial" w:hAnsi="Arial" w:cs="Arial"/>
          <w:spacing w:val="-20"/>
          <w:sz w:val="22"/>
          <w:szCs w:val="22"/>
        </w:rPr>
        <w:t xml:space="preserve"> </w:t>
      </w:r>
      <w:r>
        <w:rPr>
          <w:rFonts w:ascii="Arial" w:hAnsi="Arial" w:cs="Arial"/>
          <w:sz w:val="22"/>
          <w:szCs w:val="22"/>
        </w:rPr>
        <w:t>steel</w:t>
      </w:r>
      <w:r>
        <w:rPr>
          <w:rFonts w:ascii="Arial" w:hAnsi="Arial" w:cs="Arial"/>
          <w:spacing w:val="-13"/>
          <w:sz w:val="22"/>
          <w:szCs w:val="22"/>
        </w:rPr>
        <w:t xml:space="preserve"> </w:t>
      </w:r>
      <w:r>
        <w:rPr>
          <w:rFonts w:ascii="Arial" w:hAnsi="Arial" w:cs="Arial"/>
          <w:sz w:val="22"/>
          <w:szCs w:val="22"/>
        </w:rPr>
        <w:t>rod</w:t>
      </w:r>
      <w:r>
        <w:rPr>
          <w:rFonts w:ascii="Arial" w:hAnsi="Arial" w:cs="Arial"/>
          <w:spacing w:val="-16"/>
          <w:sz w:val="22"/>
          <w:szCs w:val="22"/>
        </w:rPr>
        <w:t xml:space="preserve"> </w:t>
      </w:r>
      <w:r>
        <w:rPr>
          <w:rFonts w:ascii="Arial" w:hAnsi="Arial" w:cs="Arial"/>
          <w:sz w:val="22"/>
          <w:szCs w:val="22"/>
        </w:rPr>
        <w:t>and</w:t>
      </w:r>
      <w:r>
        <w:rPr>
          <w:rFonts w:ascii="Arial" w:hAnsi="Arial" w:cs="Arial"/>
          <w:spacing w:val="-16"/>
          <w:sz w:val="22"/>
          <w:szCs w:val="22"/>
        </w:rPr>
        <w:t xml:space="preserve"> </w:t>
      </w:r>
      <w:r>
        <w:rPr>
          <w:rFonts w:ascii="Arial" w:hAnsi="Arial" w:cs="Arial"/>
          <w:sz w:val="22"/>
          <w:szCs w:val="22"/>
        </w:rPr>
        <w:t>cap</w:t>
      </w:r>
      <w:r>
        <w:rPr>
          <w:rFonts w:ascii="Arial" w:hAnsi="Arial" w:cs="Arial"/>
          <w:spacing w:val="-20"/>
          <w:sz w:val="22"/>
          <w:szCs w:val="22"/>
        </w:rPr>
        <w:t xml:space="preserve"> </w:t>
      </w:r>
      <w:r>
        <w:rPr>
          <w:rFonts w:ascii="Arial" w:hAnsi="Arial" w:cs="Arial"/>
          <w:sz w:val="22"/>
          <w:szCs w:val="22"/>
        </w:rPr>
        <w:t>(A.C.L.S.,</w:t>
      </w:r>
      <w:r>
        <w:rPr>
          <w:rFonts w:ascii="Arial" w:hAnsi="Arial" w:cs="Arial"/>
          <w:spacing w:val="-8"/>
          <w:sz w:val="22"/>
          <w:szCs w:val="22"/>
        </w:rPr>
        <w:t xml:space="preserve"> </w:t>
      </w:r>
      <w:r>
        <w:rPr>
          <w:rFonts w:ascii="Arial" w:hAnsi="Arial" w:cs="Arial"/>
          <w:sz w:val="22"/>
          <w:szCs w:val="22"/>
        </w:rPr>
        <w:t>INC.)</w:t>
      </w:r>
      <w:r>
        <w:rPr>
          <w:rFonts w:ascii="Arial" w:hAnsi="Arial" w:cs="Arial"/>
          <w:spacing w:val="-16"/>
          <w:sz w:val="22"/>
          <w:szCs w:val="22"/>
        </w:rPr>
        <w:t xml:space="preserve"> </w:t>
      </w:r>
      <w:r>
        <w:rPr>
          <w:rFonts w:ascii="Arial" w:hAnsi="Arial" w:cs="Arial"/>
          <w:sz w:val="22"/>
          <w:szCs w:val="22"/>
        </w:rPr>
        <w:t>at</w:t>
      </w:r>
      <w:r>
        <w:rPr>
          <w:rFonts w:ascii="Arial" w:hAnsi="Arial" w:cs="Arial"/>
          <w:spacing w:val="-19"/>
          <w:sz w:val="22"/>
          <w:szCs w:val="22"/>
        </w:rPr>
        <w:t xml:space="preserve"> </w:t>
      </w:r>
      <w:r>
        <w:rPr>
          <w:rFonts w:ascii="Arial" w:hAnsi="Arial" w:cs="Arial"/>
          <w:sz w:val="22"/>
          <w:szCs w:val="22"/>
        </w:rPr>
        <w:t>the</w:t>
      </w:r>
      <w:r>
        <w:rPr>
          <w:rFonts w:ascii="Arial" w:hAnsi="Arial" w:cs="Arial"/>
          <w:spacing w:val="-19"/>
          <w:sz w:val="22"/>
          <w:szCs w:val="22"/>
        </w:rPr>
        <w:t xml:space="preserve"> </w:t>
      </w:r>
      <w:r>
        <w:rPr>
          <w:rFonts w:ascii="Arial" w:hAnsi="Arial" w:cs="Arial"/>
          <w:sz w:val="22"/>
          <w:szCs w:val="22"/>
        </w:rPr>
        <w:t>Northeast comer</w:t>
      </w:r>
      <w:r>
        <w:rPr>
          <w:rFonts w:ascii="Arial" w:hAnsi="Arial" w:cs="Arial"/>
          <w:spacing w:val="-17"/>
          <w:sz w:val="22"/>
          <w:szCs w:val="22"/>
        </w:rPr>
        <w:t xml:space="preserve"> </w:t>
      </w:r>
      <w:r>
        <w:rPr>
          <w:rFonts w:ascii="Arial" w:hAnsi="Arial" w:cs="Arial"/>
          <w:sz w:val="22"/>
          <w:szCs w:val="22"/>
        </w:rPr>
        <w:t>of</w:t>
      </w:r>
      <w:r>
        <w:rPr>
          <w:rFonts w:ascii="Arial" w:hAnsi="Arial" w:cs="Arial"/>
          <w:spacing w:val="-21"/>
          <w:sz w:val="22"/>
          <w:szCs w:val="22"/>
        </w:rPr>
        <w:t xml:space="preserve"> </w:t>
      </w:r>
      <w:r>
        <w:rPr>
          <w:rFonts w:ascii="Arial" w:hAnsi="Arial" w:cs="Arial"/>
          <w:sz w:val="22"/>
          <w:szCs w:val="22"/>
        </w:rPr>
        <w:t>the</w:t>
      </w:r>
      <w:r>
        <w:rPr>
          <w:rFonts w:ascii="Arial" w:hAnsi="Arial" w:cs="Arial"/>
          <w:spacing w:val="-24"/>
          <w:sz w:val="22"/>
          <w:szCs w:val="22"/>
        </w:rPr>
        <w:t xml:space="preserve"> </w:t>
      </w:r>
      <w:r>
        <w:rPr>
          <w:rFonts w:ascii="Arial" w:hAnsi="Arial" w:cs="Arial"/>
          <w:sz w:val="22"/>
          <w:szCs w:val="22"/>
        </w:rPr>
        <w:t>afore-described</w:t>
      </w:r>
      <w:r>
        <w:rPr>
          <w:rFonts w:ascii="Arial" w:hAnsi="Arial" w:cs="Arial"/>
          <w:spacing w:val="-19"/>
          <w:sz w:val="22"/>
          <w:szCs w:val="22"/>
        </w:rPr>
        <w:t xml:space="preserve"> </w:t>
      </w:r>
      <w:r>
        <w:rPr>
          <w:rFonts w:ascii="Arial" w:hAnsi="Arial" w:cs="Arial"/>
          <w:sz w:val="22"/>
          <w:szCs w:val="22"/>
        </w:rPr>
        <w:t>1.012</w:t>
      </w:r>
      <w:r>
        <w:rPr>
          <w:rFonts w:ascii="Arial" w:hAnsi="Arial" w:cs="Arial"/>
          <w:spacing w:val="-17"/>
          <w:sz w:val="22"/>
          <w:szCs w:val="22"/>
        </w:rPr>
        <w:t xml:space="preserve"> </w:t>
      </w:r>
      <w:r>
        <w:rPr>
          <w:rFonts w:ascii="Arial" w:hAnsi="Arial" w:cs="Arial"/>
          <w:sz w:val="22"/>
          <w:szCs w:val="22"/>
        </w:rPr>
        <w:t>acre</w:t>
      </w:r>
      <w:r>
        <w:rPr>
          <w:rFonts w:ascii="Arial" w:hAnsi="Arial" w:cs="Arial"/>
          <w:spacing w:val="-17"/>
          <w:sz w:val="22"/>
          <w:szCs w:val="22"/>
        </w:rPr>
        <w:t xml:space="preserve"> </w:t>
      </w:r>
      <w:r>
        <w:rPr>
          <w:rFonts w:ascii="Arial" w:hAnsi="Arial" w:cs="Arial"/>
          <w:sz w:val="22"/>
          <w:szCs w:val="22"/>
        </w:rPr>
        <w:t>tract</w:t>
      </w:r>
      <w:r>
        <w:rPr>
          <w:rFonts w:ascii="Arial" w:hAnsi="Arial" w:cs="Arial"/>
          <w:spacing w:val="-19"/>
          <w:sz w:val="22"/>
          <w:szCs w:val="22"/>
        </w:rPr>
        <w:t xml:space="preserve"> </w:t>
      </w:r>
      <w:r>
        <w:rPr>
          <w:rFonts w:ascii="Arial" w:hAnsi="Arial" w:cs="Arial"/>
          <w:sz w:val="22"/>
          <w:szCs w:val="22"/>
        </w:rPr>
        <w:t>of</w:t>
      </w:r>
      <w:r>
        <w:rPr>
          <w:rFonts w:ascii="Arial" w:hAnsi="Arial" w:cs="Arial"/>
          <w:spacing w:val="-19"/>
          <w:sz w:val="22"/>
          <w:szCs w:val="22"/>
        </w:rPr>
        <w:t xml:space="preserve"> </w:t>
      </w:r>
      <w:r>
        <w:rPr>
          <w:rFonts w:ascii="Arial" w:hAnsi="Arial" w:cs="Arial"/>
          <w:sz w:val="22"/>
          <w:szCs w:val="22"/>
        </w:rPr>
        <w:t>land;</w:t>
      </w:r>
      <w:r>
        <w:rPr>
          <w:rFonts w:ascii="Arial" w:hAnsi="Arial" w:cs="Arial"/>
          <w:spacing w:val="-20"/>
          <w:sz w:val="22"/>
          <w:szCs w:val="22"/>
        </w:rPr>
        <w:t xml:space="preserve"> </w:t>
      </w:r>
      <w:r>
        <w:rPr>
          <w:rFonts w:ascii="Arial" w:hAnsi="Arial" w:cs="Arial"/>
          <w:sz w:val="22"/>
          <w:szCs w:val="22"/>
        </w:rPr>
        <w:t>thence</w:t>
      </w:r>
      <w:r>
        <w:rPr>
          <w:rFonts w:ascii="Arial" w:hAnsi="Arial" w:cs="Arial"/>
          <w:spacing w:val="-15"/>
          <w:sz w:val="22"/>
          <w:szCs w:val="22"/>
        </w:rPr>
        <w:t xml:space="preserve"> </w:t>
      </w:r>
      <w:r>
        <w:rPr>
          <w:rFonts w:ascii="Arial" w:hAnsi="Arial" w:cs="Arial"/>
          <w:sz w:val="22"/>
          <w:szCs w:val="22"/>
        </w:rPr>
        <w:t>run</w:t>
      </w:r>
      <w:r>
        <w:rPr>
          <w:rFonts w:ascii="Arial" w:hAnsi="Arial" w:cs="Arial"/>
          <w:spacing w:val="-21"/>
          <w:sz w:val="22"/>
          <w:szCs w:val="22"/>
        </w:rPr>
        <w:t xml:space="preserve"> </w:t>
      </w:r>
      <w:r>
        <w:rPr>
          <w:rFonts w:ascii="Arial" w:hAnsi="Arial" w:cs="Arial"/>
          <w:sz w:val="22"/>
          <w:szCs w:val="22"/>
        </w:rPr>
        <w:t>S</w:t>
      </w:r>
      <w:r>
        <w:rPr>
          <w:rFonts w:ascii="Arial" w:hAnsi="Arial" w:cs="Arial"/>
          <w:spacing w:val="-19"/>
          <w:sz w:val="22"/>
          <w:szCs w:val="22"/>
        </w:rPr>
        <w:t xml:space="preserve"> </w:t>
      </w:r>
      <w:r>
        <w:rPr>
          <w:rFonts w:ascii="Arial" w:hAnsi="Arial" w:cs="Arial"/>
          <w:sz w:val="22"/>
          <w:szCs w:val="22"/>
        </w:rPr>
        <w:t>01°</w:t>
      </w:r>
      <w:r>
        <w:rPr>
          <w:rFonts w:ascii="Arial" w:hAnsi="Arial" w:cs="Arial"/>
          <w:spacing w:val="-26"/>
          <w:sz w:val="22"/>
          <w:szCs w:val="22"/>
        </w:rPr>
        <w:t xml:space="preserve"> </w:t>
      </w:r>
      <w:r>
        <w:rPr>
          <w:rFonts w:ascii="Arial" w:hAnsi="Arial" w:cs="Arial"/>
          <w:sz w:val="22"/>
          <w:szCs w:val="22"/>
        </w:rPr>
        <w:t>03’</w:t>
      </w:r>
      <w:r>
        <w:rPr>
          <w:rFonts w:ascii="Arial" w:hAnsi="Arial" w:cs="Arial"/>
          <w:spacing w:val="-17"/>
          <w:sz w:val="22"/>
          <w:szCs w:val="22"/>
        </w:rPr>
        <w:t xml:space="preserve"> </w:t>
      </w:r>
      <w:r>
        <w:rPr>
          <w:rFonts w:ascii="Arial" w:hAnsi="Arial" w:cs="Arial"/>
          <w:sz w:val="22"/>
          <w:szCs w:val="22"/>
        </w:rPr>
        <w:t>13”</w:t>
      </w:r>
      <w:r>
        <w:rPr>
          <w:rFonts w:ascii="Arial" w:hAnsi="Arial" w:cs="Arial"/>
          <w:spacing w:val="-21"/>
          <w:sz w:val="22"/>
          <w:szCs w:val="22"/>
        </w:rPr>
        <w:t xml:space="preserve"> </w:t>
      </w:r>
      <w:r>
        <w:rPr>
          <w:rFonts w:ascii="Arial" w:hAnsi="Arial" w:cs="Arial"/>
          <w:sz w:val="22"/>
          <w:szCs w:val="22"/>
        </w:rPr>
        <w:t>E.,</w:t>
      </w:r>
      <w:r>
        <w:rPr>
          <w:rFonts w:ascii="Arial" w:hAnsi="Arial" w:cs="Arial"/>
          <w:spacing w:val="-24"/>
          <w:sz w:val="22"/>
          <w:szCs w:val="22"/>
        </w:rPr>
        <w:t xml:space="preserve"> </w:t>
      </w:r>
      <w:r>
        <w:rPr>
          <w:rFonts w:ascii="Arial" w:hAnsi="Arial" w:cs="Arial"/>
          <w:sz w:val="22"/>
          <w:szCs w:val="22"/>
        </w:rPr>
        <w:t>along</w:t>
      </w:r>
      <w:r>
        <w:rPr>
          <w:rFonts w:ascii="Arial" w:hAnsi="Arial" w:cs="Arial"/>
          <w:spacing w:val="-21"/>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z w:val="22"/>
          <w:szCs w:val="22"/>
        </w:rPr>
        <w:t>East line</w:t>
      </w:r>
      <w:r>
        <w:rPr>
          <w:rFonts w:ascii="Arial" w:hAnsi="Arial" w:cs="Arial"/>
          <w:spacing w:val="-33"/>
          <w:sz w:val="22"/>
          <w:szCs w:val="22"/>
        </w:rPr>
        <w:t xml:space="preserve"> </w:t>
      </w:r>
      <w:r>
        <w:rPr>
          <w:rFonts w:ascii="Arial" w:hAnsi="Arial" w:cs="Arial"/>
          <w:sz w:val="22"/>
          <w:szCs w:val="22"/>
        </w:rPr>
        <w:t>of</w:t>
      </w:r>
      <w:r>
        <w:rPr>
          <w:rFonts w:ascii="Arial" w:hAnsi="Arial" w:cs="Arial"/>
          <w:spacing w:val="-31"/>
          <w:sz w:val="22"/>
          <w:szCs w:val="22"/>
        </w:rPr>
        <w:t xml:space="preserve"> </w:t>
      </w:r>
      <w:r>
        <w:rPr>
          <w:rFonts w:ascii="Arial" w:hAnsi="Arial" w:cs="Arial"/>
          <w:sz w:val="22"/>
          <w:szCs w:val="22"/>
        </w:rPr>
        <w:t>said</w:t>
      </w:r>
      <w:r>
        <w:rPr>
          <w:rFonts w:ascii="Arial" w:hAnsi="Arial" w:cs="Arial"/>
          <w:spacing w:val="-23"/>
          <w:sz w:val="22"/>
          <w:szCs w:val="22"/>
        </w:rPr>
        <w:t xml:space="preserve"> </w:t>
      </w:r>
      <w:r>
        <w:rPr>
          <w:rFonts w:ascii="Arial" w:hAnsi="Arial" w:cs="Arial"/>
          <w:sz w:val="22"/>
          <w:szCs w:val="22"/>
        </w:rPr>
        <w:t>1.012</w:t>
      </w:r>
      <w:r>
        <w:rPr>
          <w:rFonts w:ascii="Arial" w:hAnsi="Arial" w:cs="Arial"/>
          <w:spacing w:val="-26"/>
          <w:sz w:val="22"/>
          <w:szCs w:val="22"/>
        </w:rPr>
        <w:t xml:space="preserve"> </w:t>
      </w:r>
      <w:r>
        <w:rPr>
          <w:rFonts w:ascii="Arial" w:hAnsi="Arial" w:cs="Arial"/>
          <w:sz w:val="22"/>
          <w:szCs w:val="22"/>
        </w:rPr>
        <w:t>acre</w:t>
      </w:r>
      <w:r>
        <w:rPr>
          <w:rFonts w:ascii="Arial" w:hAnsi="Arial" w:cs="Arial"/>
          <w:spacing w:val="-28"/>
          <w:sz w:val="22"/>
          <w:szCs w:val="22"/>
        </w:rPr>
        <w:t xml:space="preserve"> </w:t>
      </w:r>
      <w:r>
        <w:rPr>
          <w:rFonts w:ascii="Arial" w:hAnsi="Arial" w:cs="Arial"/>
          <w:sz w:val="22"/>
          <w:szCs w:val="22"/>
        </w:rPr>
        <w:t>tract</w:t>
      </w:r>
      <w:r>
        <w:rPr>
          <w:rFonts w:ascii="Arial" w:hAnsi="Arial" w:cs="Arial"/>
          <w:spacing w:val="-28"/>
          <w:sz w:val="22"/>
          <w:szCs w:val="22"/>
        </w:rPr>
        <w:t xml:space="preserve"> </w:t>
      </w:r>
      <w:r>
        <w:rPr>
          <w:rFonts w:ascii="Arial" w:hAnsi="Arial" w:cs="Arial"/>
          <w:sz w:val="22"/>
          <w:szCs w:val="22"/>
        </w:rPr>
        <w:t>of</w:t>
      </w:r>
      <w:r>
        <w:rPr>
          <w:rFonts w:ascii="Arial" w:hAnsi="Arial" w:cs="Arial"/>
          <w:spacing w:val="-32"/>
          <w:sz w:val="22"/>
          <w:szCs w:val="22"/>
        </w:rPr>
        <w:t xml:space="preserve"> </w:t>
      </w:r>
      <w:r>
        <w:rPr>
          <w:rFonts w:ascii="Arial" w:hAnsi="Arial" w:cs="Arial"/>
          <w:sz w:val="22"/>
          <w:szCs w:val="22"/>
        </w:rPr>
        <w:t>land,</w:t>
      </w:r>
      <w:r>
        <w:rPr>
          <w:rFonts w:ascii="Arial" w:hAnsi="Arial" w:cs="Arial"/>
          <w:spacing w:val="-28"/>
          <w:sz w:val="22"/>
          <w:szCs w:val="22"/>
        </w:rPr>
        <w:t xml:space="preserve"> </w:t>
      </w:r>
      <w:r>
        <w:rPr>
          <w:rFonts w:ascii="Arial" w:hAnsi="Arial" w:cs="Arial"/>
          <w:sz w:val="22"/>
          <w:szCs w:val="22"/>
        </w:rPr>
        <w:t>a</w:t>
      </w:r>
      <w:r>
        <w:rPr>
          <w:rFonts w:ascii="Arial" w:hAnsi="Arial" w:cs="Arial"/>
          <w:spacing w:val="-31"/>
          <w:sz w:val="22"/>
          <w:szCs w:val="22"/>
        </w:rPr>
        <w:t xml:space="preserve"> </w:t>
      </w:r>
      <w:r>
        <w:rPr>
          <w:rFonts w:ascii="Arial" w:hAnsi="Arial" w:cs="Arial"/>
          <w:sz w:val="22"/>
          <w:szCs w:val="22"/>
        </w:rPr>
        <w:t>distance</w:t>
      </w:r>
      <w:r>
        <w:rPr>
          <w:rFonts w:ascii="Arial" w:hAnsi="Arial" w:cs="Arial"/>
          <w:spacing w:val="-26"/>
          <w:sz w:val="22"/>
          <w:szCs w:val="22"/>
        </w:rPr>
        <w:t xml:space="preserve"> </w:t>
      </w:r>
      <w:r>
        <w:rPr>
          <w:rFonts w:ascii="Arial" w:hAnsi="Arial" w:cs="Arial"/>
          <w:sz w:val="22"/>
          <w:szCs w:val="22"/>
        </w:rPr>
        <w:t>of</w:t>
      </w:r>
      <w:r>
        <w:rPr>
          <w:rFonts w:ascii="Arial" w:hAnsi="Arial" w:cs="Arial"/>
          <w:spacing w:val="-31"/>
          <w:sz w:val="22"/>
          <w:szCs w:val="22"/>
        </w:rPr>
        <w:t xml:space="preserve"> </w:t>
      </w:r>
      <w:r>
        <w:rPr>
          <w:rFonts w:ascii="Arial" w:hAnsi="Arial" w:cs="Arial"/>
          <w:sz w:val="22"/>
          <w:szCs w:val="22"/>
        </w:rPr>
        <w:t>20.00</w:t>
      </w:r>
      <w:r>
        <w:rPr>
          <w:rFonts w:ascii="Arial" w:hAnsi="Arial" w:cs="Arial"/>
          <w:spacing w:val="-27"/>
          <w:sz w:val="22"/>
          <w:szCs w:val="22"/>
        </w:rPr>
        <w:t xml:space="preserve"> </w:t>
      </w:r>
      <w:r>
        <w:rPr>
          <w:rFonts w:ascii="Arial" w:hAnsi="Arial" w:cs="Arial"/>
          <w:sz w:val="22"/>
          <w:szCs w:val="22"/>
        </w:rPr>
        <w:t>feet;</w:t>
      </w:r>
      <w:r>
        <w:rPr>
          <w:rFonts w:ascii="Arial" w:hAnsi="Arial" w:cs="Arial"/>
          <w:spacing w:val="-23"/>
          <w:sz w:val="22"/>
          <w:szCs w:val="22"/>
        </w:rPr>
        <w:t xml:space="preserve"> </w:t>
      </w:r>
      <w:r>
        <w:rPr>
          <w:rFonts w:ascii="Arial" w:hAnsi="Arial" w:cs="Arial"/>
          <w:sz w:val="22"/>
          <w:szCs w:val="22"/>
        </w:rPr>
        <w:t>thence</w:t>
      </w:r>
      <w:r>
        <w:rPr>
          <w:rFonts w:ascii="Arial" w:hAnsi="Arial" w:cs="Arial"/>
          <w:spacing w:val="-25"/>
          <w:sz w:val="22"/>
          <w:szCs w:val="22"/>
        </w:rPr>
        <w:t xml:space="preserve"> </w:t>
      </w:r>
      <w:r>
        <w:rPr>
          <w:rFonts w:ascii="Arial" w:hAnsi="Arial" w:cs="Arial"/>
          <w:sz w:val="22"/>
          <w:szCs w:val="22"/>
        </w:rPr>
        <w:t>run</w:t>
      </w:r>
      <w:r>
        <w:rPr>
          <w:rFonts w:ascii="Arial" w:hAnsi="Arial" w:cs="Arial"/>
          <w:spacing w:val="-24"/>
          <w:sz w:val="22"/>
          <w:szCs w:val="22"/>
        </w:rPr>
        <w:t xml:space="preserve"> </w:t>
      </w:r>
      <w:r>
        <w:rPr>
          <w:rFonts w:ascii="Arial" w:hAnsi="Arial" w:cs="Arial"/>
          <w:sz w:val="22"/>
          <w:szCs w:val="22"/>
        </w:rPr>
        <w:t>N</w:t>
      </w:r>
      <w:r>
        <w:rPr>
          <w:rFonts w:ascii="Arial" w:hAnsi="Arial" w:cs="Arial"/>
          <w:spacing w:val="-30"/>
          <w:sz w:val="22"/>
          <w:szCs w:val="22"/>
        </w:rPr>
        <w:t xml:space="preserve"> </w:t>
      </w:r>
      <w:r>
        <w:rPr>
          <w:rFonts w:ascii="Arial" w:hAnsi="Arial" w:cs="Arial"/>
          <w:sz w:val="22"/>
          <w:szCs w:val="22"/>
        </w:rPr>
        <w:t>88°</w:t>
      </w:r>
      <w:r>
        <w:rPr>
          <w:rFonts w:ascii="Arial" w:hAnsi="Arial" w:cs="Arial"/>
          <w:spacing w:val="-38"/>
          <w:sz w:val="22"/>
          <w:szCs w:val="22"/>
        </w:rPr>
        <w:t xml:space="preserve"> </w:t>
      </w:r>
      <w:r>
        <w:rPr>
          <w:rFonts w:ascii="Arial" w:hAnsi="Arial" w:cs="Arial"/>
          <w:sz w:val="22"/>
          <w:szCs w:val="22"/>
        </w:rPr>
        <w:t>56”</w:t>
      </w:r>
      <w:r>
        <w:rPr>
          <w:rFonts w:ascii="Arial" w:hAnsi="Arial" w:cs="Arial"/>
          <w:spacing w:val="-29"/>
          <w:sz w:val="22"/>
          <w:szCs w:val="22"/>
        </w:rPr>
        <w:t xml:space="preserve"> </w:t>
      </w:r>
      <w:r>
        <w:rPr>
          <w:rFonts w:ascii="Arial" w:hAnsi="Arial" w:cs="Arial"/>
          <w:sz w:val="22"/>
          <w:szCs w:val="22"/>
        </w:rPr>
        <w:t>47”</w:t>
      </w:r>
      <w:r>
        <w:rPr>
          <w:rFonts w:ascii="Arial" w:hAnsi="Arial" w:cs="Arial"/>
          <w:spacing w:val="-30"/>
          <w:sz w:val="22"/>
          <w:szCs w:val="22"/>
        </w:rPr>
        <w:t xml:space="preserve"> </w:t>
      </w:r>
      <w:r>
        <w:rPr>
          <w:rFonts w:ascii="Arial" w:hAnsi="Arial" w:cs="Arial"/>
          <w:sz w:val="22"/>
          <w:szCs w:val="22"/>
        </w:rPr>
        <w:t>E,</w:t>
      </w:r>
      <w:r>
        <w:rPr>
          <w:rFonts w:ascii="Arial" w:hAnsi="Arial" w:cs="Arial"/>
          <w:spacing w:val="-34"/>
          <w:sz w:val="22"/>
          <w:szCs w:val="22"/>
        </w:rPr>
        <w:t xml:space="preserve"> </w:t>
      </w:r>
      <w:r>
        <w:rPr>
          <w:rFonts w:ascii="Arial" w:hAnsi="Arial" w:cs="Arial"/>
          <w:sz w:val="22"/>
          <w:szCs w:val="22"/>
        </w:rPr>
        <w:t>a</w:t>
      </w:r>
      <w:r>
        <w:rPr>
          <w:rFonts w:ascii="Arial" w:hAnsi="Arial" w:cs="Arial"/>
          <w:spacing w:val="-34"/>
          <w:sz w:val="22"/>
          <w:szCs w:val="22"/>
        </w:rPr>
        <w:t xml:space="preserve"> </w:t>
      </w:r>
      <w:r>
        <w:rPr>
          <w:rFonts w:ascii="Arial" w:hAnsi="Arial" w:cs="Arial"/>
          <w:sz w:val="22"/>
          <w:szCs w:val="22"/>
        </w:rPr>
        <w:t>distance of</w:t>
      </w:r>
      <w:r>
        <w:rPr>
          <w:rFonts w:ascii="Arial" w:hAnsi="Arial" w:cs="Arial"/>
          <w:spacing w:val="-24"/>
          <w:sz w:val="22"/>
          <w:szCs w:val="22"/>
        </w:rPr>
        <w:t xml:space="preserve"> </w:t>
      </w:r>
      <w:r>
        <w:rPr>
          <w:rFonts w:ascii="Arial" w:hAnsi="Arial" w:cs="Arial"/>
          <w:sz w:val="22"/>
          <w:szCs w:val="22"/>
        </w:rPr>
        <w:t>559.80</w:t>
      </w:r>
      <w:r>
        <w:rPr>
          <w:rFonts w:ascii="Arial" w:hAnsi="Arial" w:cs="Arial"/>
          <w:spacing w:val="-21"/>
          <w:sz w:val="22"/>
          <w:szCs w:val="22"/>
        </w:rPr>
        <w:t xml:space="preserve"> </w:t>
      </w:r>
      <w:r>
        <w:rPr>
          <w:rFonts w:ascii="Arial" w:hAnsi="Arial" w:cs="Arial"/>
          <w:sz w:val="22"/>
          <w:szCs w:val="22"/>
        </w:rPr>
        <w:t>feet</w:t>
      </w:r>
      <w:r>
        <w:rPr>
          <w:rFonts w:ascii="Arial" w:hAnsi="Arial" w:cs="Arial"/>
          <w:spacing w:val="-20"/>
          <w:sz w:val="22"/>
          <w:szCs w:val="22"/>
        </w:rPr>
        <w:t xml:space="preserve"> </w:t>
      </w:r>
      <w:r>
        <w:rPr>
          <w:rFonts w:ascii="Arial" w:hAnsi="Arial" w:cs="Arial"/>
          <w:sz w:val="22"/>
          <w:szCs w:val="22"/>
        </w:rPr>
        <w:t>to</w:t>
      </w:r>
      <w:r>
        <w:rPr>
          <w:rFonts w:ascii="Arial" w:hAnsi="Arial" w:cs="Arial"/>
          <w:spacing w:val="-24"/>
          <w:sz w:val="22"/>
          <w:szCs w:val="22"/>
        </w:rPr>
        <w:t xml:space="preserve"> </w:t>
      </w:r>
      <w:r>
        <w:rPr>
          <w:rFonts w:ascii="Arial" w:hAnsi="Arial" w:cs="Arial"/>
          <w:sz w:val="22"/>
          <w:szCs w:val="22"/>
        </w:rPr>
        <w:t>said</w:t>
      </w:r>
      <w:r>
        <w:rPr>
          <w:rFonts w:ascii="Arial" w:hAnsi="Arial" w:cs="Arial"/>
          <w:spacing w:val="-18"/>
          <w:sz w:val="22"/>
          <w:szCs w:val="22"/>
        </w:rPr>
        <w:t xml:space="preserve"> </w:t>
      </w:r>
      <w:r>
        <w:rPr>
          <w:rFonts w:ascii="Arial" w:hAnsi="Arial" w:cs="Arial"/>
          <w:sz w:val="22"/>
          <w:szCs w:val="22"/>
        </w:rPr>
        <w:t>East</w:t>
      </w:r>
      <w:r>
        <w:rPr>
          <w:rFonts w:ascii="Arial" w:hAnsi="Arial" w:cs="Arial"/>
          <w:spacing w:val="-19"/>
          <w:sz w:val="22"/>
          <w:szCs w:val="22"/>
        </w:rPr>
        <w:t xml:space="preserve"> </w:t>
      </w:r>
      <w:r>
        <w:rPr>
          <w:rFonts w:ascii="Arial" w:hAnsi="Arial" w:cs="Arial"/>
          <w:sz w:val="22"/>
          <w:szCs w:val="22"/>
        </w:rPr>
        <w:t>right</w:t>
      </w:r>
      <w:r>
        <w:rPr>
          <w:rFonts w:ascii="Arial" w:hAnsi="Arial" w:cs="Arial"/>
          <w:spacing w:val="-21"/>
          <w:sz w:val="22"/>
          <w:szCs w:val="22"/>
        </w:rPr>
        <w:t xml:space="preserve"> </w:t>
      </w:r>
      <w:r>
        <w:rPr>
          <w:rFonts w:ascii="Arial" w:hAnsi="Arial" w:cs="Arial"/>
          <w:sz w:val="22"/>
          <w:szCs w:val="22"/>
        </w:rPr>
        <w:t>of</w:t>
      </w:r>
      <w:r>
        <w:rPr>
          <w:rFonts w:ascii="Arial" w:hAnsi="Arial" w:cs="Arial"/>
          <w:spacing w:val="-23"/>
          <w:sz w:val="22"/>
          <w:szCs w:val="22"/>
        </w:rPr>
        <w:t xml:space="preserve"> </w:t>
      </w:r>
      <w:r>
        <w:rPr>
          <w:rFonts w:ascii="Arial" w:hAnsi="Arial" w:cs="Arial"/>
          <w:sz w:val="22"/>
          <w:szCs w:val="22"/>
        </w:rPr>
        <w:t>way</w:t>
      </w:r>
      <w:r>
        <w:rPr>
          <w:rFonts w:ascii="Arial" w:hAnsi="Arial" w:cs="Arial"/>
          <w:spacing w:val="-19"/>
          <w:sz w:val="22"/>
          <w:szCs w:val="22"/>
        </w:rPr>
        <w:t xml:space="preserve"> </w:t>
      </w:r>
      <w:r>
        <w:rPr>
          <w:rFonts w:ascii="Arial" w:hAnsi="Arial" w:cs="Arial"/>
          <w:sz w:val="22"/>
          <w:szCs w:val="22"/>
        </w:rPr>
        <w:t>line;</w:t>
      </w:r>
      <w:r>
        <w:rPr>
          <w:rFonts w:ascii="Arial" w:hAnsi="Arial" w:cs="Arial"/>
          <w:spacing w:val="-22"/>
          <w:sz w:val="22"/>
          <w:szCs w:val="22"/>
        </w:rPr>
        <w:t xml:space="preserve"> </w:t>
      </w:r>
      <w:r>
        <w:rPr>
          <w:rFonts w:ascii="Arial" w:hAnsi="Arial" w:cs="Arial"/>
          <w:sz w:val="22"/>
          <w:szCs w:val="22"/>
        </w:rPr>
        <w:t>thence</w:t>
      </w:r>
      <w:r>
        <w:rPr>
          <w:rFonts w:ascii="Arial" w:hAnsi="Arial" w:cs="Arial"/>
          <w:spacing w:val="-18"/>
          <w:sz w:val="22"/>
          <w:szCs w:val="22"/>
        </w:rPr>
        <w:t xml:space="preserve"> </w:t>
      </w:r>
      <w:r>
        <w:rPr>
          <w:rFonts w:ascii="Arial" w:hAnsi="Arial" w:cs="Arial"/>
          <w:sz w:val="22"/>
          <w:szCs w:val="22"/>
        </w:rPr>
        <w:t>run</w:t>
      </w:r>
      <w:r>
        <w:rPr>
          <w:rFonts w:ascii="Arial" w:hAnsi="Arial" w:cs="Arial"/>
          <w:spacing w:val="-19"/>
          <w:sz w:val="22"/>
          <w:szCs w:val="22"/>
        </w:rPr>
        <w:t xml:space="preserve"> </w:t>
      </w:r>
      <w:r>
        <w:rPr>
          <w:rFonts w:ascii="Arial" w:hAnsi="Arial" w:cs="Arial"/>
          <w:sz w:val="22"/>
          <w:szCs w:val="22"/>
        </w:rPr>
        <w:t>N</w:t>
      </w:r>
      <w:r>
        <w:rPr>
          <w:rFonts w:ascii="Arial" w:hAnsi="Arial" w:cs="Arial"/>
          <w:spacing w:val="-25"/>
          <w:sz w:val="22"/>
          <w:szCs w:val="22"/>
        </w:rPr>
        <w:t xml:space="preserve"> </w:t>
      </w:r>
      <w:r>
        <w:rPr>
          <w:rFonts w:ascii="Arial" w:hAnsi="Arial" w:cs="Arial"/>
          <w:sz w:val="22"/>
          <w:szCs w:val="22"/>
        </w:rPr>
        <w:t>01°</w:t>
      </w:r>
      <w:r>
        <w:rPr>
          <w:rFonts w:ascii="Arial" w:hAnsi="Arial" w:cs="Arial"/>
          <w:spacing w:val="-33"/>
          <w:sz w:val="22"/>
          <w:szCs w:val="22"/>
        </w:rPr>
        <w:t xml:space="preserve"> </w:t>
      </w:r>
      <w:r>
        <w:rPr>
          <w:rFonts w:ascii="Arial" w:hAnsi="Arial" w:cs="Arial"/>
          <w:sz w:val="22"/>
          <w:szCs w:val="22"/>
        </w:rPr>
        <w:t>06’</w:t>
      </w:r>
      <w:r>
        <w:rPr>
          <w:rFonts w:ascii="Arial" w:hAnsi="Arial" w:cs="Arial"/>
          <w:spacing w:val="-22"/>
          <w:sz w:val="22"/>
          <w:szCs w:val="22"/>
        </w:rPr>
        <w:t xml:space="preserve"> </w:t>
      </w:r>
      <w:r>
        <w:rPr>
          <w:rFonts w:ascii="Arial" w:hAnsi="Arial" w:cs="Arial"/>
          <w:sz w:val="22"/>
          <w:szCs w:val="22"/>
        </w:rPr>
        <w:t>42”</w:t>
      </w:r>
      <w:r>
        <w:rPr>
          <w:rFonts w:ascii="Arial" w:hAnsi="Arial" w:cs="Arial"/>
          <w:spacing w:val="-21"/>
          <w:sz w:val="22"/>
          <w:szCs w:val="22"/>
        </w:rPr>
        <w:t xml:space="preserve"> </w:t>
      </w:r>
      <w:r>
        <w:rPr>
          <w:rFonts w:ascii="Arial" w:hAnsi="Arial" w:cs="Arial"/>
          <w:sz w:val="22"/>
          <w:szCs w:val="22"/>
        </w:rPr>
        <w:t>W.,</w:t>
      </w:r>
      <w:r>
        <w:rPr>
          <w:rFonts w:ascii="Arial" w:hAnsi="Arial" w:cs="Arial"/>
          <w:spacing w:val="-28"/>
          <w:sz w:val="22"/>
          <w:szCs w:val="22"/>
        </w:rPr>
        <w:t xml:space="preserve"> </w:t>
      </w:r>
      <w:r>
        <w:rPr>
          <w:rFonts w:ascii="Arial" w:hAnsi="Arial" w:cs="Arial"/>
          <w:sz w:val="22"/>
          <w:szCs w:val="22"/>
        </w:rPr>
        <w:t>along</w:t>
      </w:r>
      <w:r>
        <w:rPr>
          <w:rFonts w:ascii="Arial" w:hAnsi="Arial" w:cs="Arial"/>
          <w:spacing w:val="-21"/>
          <w:sz w:val="22"/>
          <w:szCs w:val="22"/>
        </w:rPr>
        <w:t xml:space="preserve"> </w:t>
      </w:r>
      <w:r>
        <w:rPr>
          <w:rFonts w:ascii="Arial" w:hAnsi="Arial" w:cs="Arial"/>
          <w:sz w:val="22"/>
          <w:szCs w:val="22"/>
        </w:rPr>
        <w:t>said</w:t>
      </w:r>
      <w:r>
        <w:rPr>
          <w:rFonts w:ascii="Arial" w:hAnsi="Arial" w:cs="Arial"/>
          <w:spacing w:val="-15"/>
          <w:sz w:val="22"/>
          <w:szCs w:val="22"/>
        </w:rPr>
        <w:t xml:space="preserve"> </w:t>
      </w:r>
      <w:r>
        <w:rPr>
          <w:rFonts w:ascii="Arial" w:hAnsi="Arial" w:cs="Arial"/>
          <w:sz w:val="22"/>
          <w:szCs w:val="22"/>
        </w:rPr>
        <w:t>East</w:t>
      </w:r>
      <w:r>
        <w:rPr>
          <w:rFonts w:ascii="Arial" w:hAnsi="Arial" w:cs="Arial"/>
          <w:spacing w:val="-19"/>
          <w:sz w:val="22"/>
          <w:szCs w:val="22"/>
        </w:rPr>
        <w:t xml:space="preserve"> </w:t>
      </w:r>
      <w:r>
        <w:rPr>
          <w:rFonts w:ascii="Arial" w:hAnsi="Arial" w:cs="Arial"/>
          <w:sz w:val="22"/>
          <w:szCs w:val="22"/>
        </w:rPr>
        <w:t>right</w:t>
      </w:r>
      <w:r>
        <w:rPr>
          <w:rFonts w:ascii="Arial" w:hAnsi="Arial" w:cs="Arial"/>
          <w:spacing w:val="-20"/>
          <w:sz w:val="22"/>
          <w:szCs w:val="22"/>
        </w:rPr>
        <w:t xml:space="preserve"> </w:t>
      </w:r>
      <w:r>
        <w:rPr>
          <w:rFonts w:ascii="Arial" w:hAnsi="Arial" w:cs="Arial"/>
          <w:sz w:val="22"/>
          <w:szCs w:val="22"/>
        </w:rPr>
        <w:t>of way line, a distance of 20.00 feet to the True Point of</w:t>
      </w:r>
      <w:r>
        <w:rPr>
          <w:rFonts w:ascii="Arial" w:hAnsi="Arial" w:cs="Arial"/>
          <w:spacing w:val="-24"/>
          <w:sz w:val="22"/>
          <w:szCs w:val="22"/>
        </w:rPr>
        <w:t xml:space="preserve"> </w:t>
      </w:r>
      <w:r>
        <w:rPr>
          <w:rFonts w:ascii="Arial" w:hAnsi="Arial" w:cs="Arial"/>
          <w:sz w:val="22"/>
          <w:szCs w:val="22"/>
        </w:rPr>
        <w:t>Beginning.</w:t>
      </w:r>
    </w:p>
    <w:p w14:paraId="1E90383E" w14:textId="77777777" w:rsidR="001A3A37" w:rsidRDefault="001A3A37" w:rsidP="0040549B">
      <w:pPr>
        <w:jc w:val="both"/>
        <w:rPr>
          <w:rFonts w:ascii="Arial" w:hAnsi="Arial" w:cs="Arial"/>
        </w:rPr>
      </w:pPr>
    </w:p>
    <w:p w14:paraId="1DCA64C3" w14:textId="77777777" w:rsidR="001A3A37" w:rsidRDefault="001A3A37" w:rsidP="0040549B">
      <w:pPr>
        <w:pStyle w:val="BodyText"/>
        <w:jc w:val="both"/>
        <w:rPr>
          <w:rFonts w:ascii="Arial" w:hAnsi="Arial" w:cs="Arial"/>
          <w:sz w:val="22"/>
          <w:szCs w:val="22"/>
          <w:lang w:val="es-ES"/>
        </w:rPr>
      </w:pPr>
      <w:r>
        <w:rPr>
          <w:rFonts w:ascii="Arial" w:hAnsi="Arial" w:cs="Arial"/>
          <w:sz w:val="22"/>
          <w:szCs w:val="22"/>
          <w:lang w:val="es-ES"/>
        </w:rPr>
        <w:t>TAX PARCEL NO. 01845-002-000 (NORFLEET PROPERTIES LLLP)</w:t>
      </w:r>
    </w:p>
    <w:p w14:paraId="78885631" w14:textId="77777777" w:rsidR="001A3A37" w:rsidRDefault="001A3A37" w:rsidP="0040549B">
      <w:pPr>
        <w:pStyle w:val="BodyText"/>
        <w:jc w:val="both"/>
        <w:rPr>
          <w:rFonts w:ascii="Arial" w:hAnsi="Arial" w:cs="Arial"/>
          <w:sz w:val="22"/>
          <w:szCs w:val="22"/>
        </w:rPr>
      </w:pPr>
      <w:r>
        <w:rPr>
          <w:rFonts w:ascii="Arial" w:hAnsi="Arial" w:cs="Arial"/>
          <w:sz w:val="22"/>
          <w:szCs w:val="22"/>
        </w:rPr>
        <w:t>ORB 4916 PAGE 965</w:t>
      </w:r>
    </w:p>
    <w:p w14:paraId="215F8F56" w14:textId="77777777" w:rsidR="001A3A37" w:rsidRDefault="001A3A37" w:rsidP="0040549B">
      <w:pPr>
        <w:pStyle w:val="BodyText"/>
        <w:spacing w:line="247" w:lineRule="auto"/>
        <w:ind w:right="140"/>
        <w:jc w:val="both"/>
        <w:rPr>
          <w:rFonts w:ascii="Arial" w:hAnsi="Arial" w:cs="Arial"/>
          <w:sz w:val="22"/>
          <w:szCs w:val="22"/>
        </w:rPr>
      </w:pPr>
      <w:r>
        <w:rPr>
          <w:rFonts w:ascii="Arial" w:hAnsi="Arial" w:cs="Arial"/>
          <w:sz w:val="22"/>
          <w:szCs w:val="22"/>
        </w:rPr>
        <w:t>The South one-half of the South one-half of the Southeast Quarter</w:t>
      </w:r>
      <w:r>
        <w:rPr>
          <w:rFonts w:ascii="Arial" w:hAnsi="Arial" w:cs="Arial"/>
          <w:w w:val="95"/>
          <w:sz w:val="22"/>
          <w:szCs w:val="22"/>
        </w:rPr>
        <w:t xml:space="preserve"> </w:t>
      </w:r>
      <w:r>
        <w:rPr>
          <w:rFonts w:ascii="Arial" w:hAnsi="Arial" w:cs="Arial"/>
          <w:sz w:val="22"/>
          <w:szCs w:val="22"/>
        </w:rPr>
        <w:t>of Section 21, Township 9 South, Range 17 East, Alachua County, Florida.</w:t>
      </w:r>
    </w:p>
    <w:p w14:paraId="087B240D" w14:textId="0F98D199" w:rsidR="005358F8" w:rsidRDefault="005358F8" w:rsidP="0040549B">
      <w:pPr>
        <w:autoSpaceDE/>
        <w:autoSpaceDN/>
        <w:adjustRightInd/>
        <w:jc w:val="both"/>
        <w:rPr>
          <w:b/>
          <w:sz w:val="24"/>
          <w:szCs w:val="24"/>
        </w:rPr>
      </w:pPr>
      <w:r>
        <w:rPr>
          <w:b/>
          <w:sz w:val="24"/>
          <w:szCs w:val="24"/>
        </w:rPr>
        <w:br w:type="page"/>
      </w:r>
    </w:p>
    <w:p w14:paraId="5454D6E4" w14:textId="624E4BFE" w:rsidR="000427D5" w:rsidRPr="000427D5" w:rsidRDefault="00734214" w:rsidP="000427D5">
      <w:pPr>
        <w:jc w:val="center"/>
        <w:rPr>
          <w:b/>
          <w:sz w:val="24"/>
          <w:szCs w:val="24"/>
        </w:rPr>
      </w:pPr>
      <w:r>
        <w:rPr>
          <w:b/>
          <w:sz w:val="24"/>
          <w:szCs w:val="24"/>
        </w:rPr>
        <w:lastRenderedPageBreak/>
        <w:t xml:space="preserve">EXHIBIT </w:t>
      </w:r>
      <w:r w:rsidR="005358F8">
        <w:rPr>
          <w:b/>
          <w:sz w:val="24"/>
          <w:szCs w:val="24"/>
        </w:rPr>
        <w:t>B</w:t>
      </w:r>
    </w:p>
    <w:p w14:paraId="55C4CEBB" w14:textId="796D0CF0" w:rsidR="000427D5" w:rsidRDefault="005358F8" w:rsidP="000427D5">
      <w:pPr>
        <w:jc w:val="center"/>
        <w:rPr>
          <w:b/>
          <w:sz w:val="24"/>
          <w:szCs w:val="24"/>
        </w:rPr>
      </w:pPr>
      <w:r>
        <w:rPr>
          <w:b/>
          <w:sz w:val="24"/>
          <w:szCs w:val="24"/>
        </w:rPr>
        <w:t>PRELIMINARY DEVELOPMENT PLAN</w:t>
      </w:r>
    </w:p>
    <w:p w14:paraId="72A9792D" w14:textId="248AC21F" w:rsidR="00754527" w:rsidRPr="000427D5" w:rsidRDefault="00DD3178" w:rsidP="000427D5">
      <w:pPr>
        <w:jc w:val="center"/>
        <w:rPr>
          <w:b/>
          <w:sz w:val="24"/>
          <w:szCs w:val="24"/>
        </w:rPr>
      </w:pPr>
      <w:r>
        <w:rPr>
          <w:noProof/>
        </w:rPr>
        <w:t>`</w:t>
      </w:r>
      <w:r w:rsidR="001A384A">
        <w:rPr>
          <w:noProof/>
        </w:rPr>
        <w:t>`</w:t>
      </w:r>
      <w:r>
        <w:rPr>
          <w:noProof/>
        </w:rPr>
        <w:drawing>
          <wp:inline distT="0" distB="0" distL="0" distR="0" wp14:anchorId="47660A5F" wp14:editId="7A22B961">
            <wp:extent cx="6606540" cy="4707890"/>
            <wp:effectExtent l="0" t="0" r="0" b="0"/>
            <wp:docPr id="57948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9729"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6606540" cy="4707890"/>
                    </a:xfrm>
                    <a:prstGeom prst="rect">
                      <a:avLst/>
                    </a:prstGeom>
                  </pic:spPr>
                </pic:pic>
              </a:graphicData>
            </a:graphic>
          </wp:inline>
        </w:drawing>
      </w:r>
    </w:p>
    <w:p w14:paraId="0F4CA6E3" w14:textId="77777777" w:rsidR="007A411C" w:rsidRDefault="006F51C2" w:rsidP="007A411C">
      <w:pPr>
        <w:ind w:left="360" w:hanging="360"/>
        <w:jc w:val="center"/>
        <w:rPr>
          <w:b/>
          <w:bCs/>
          <w:sz w:val="28"/>
          <w:szCs w:val="28"/>
        </w:rPr>
      </w:pPr>
      <w:r w:rsidRPr="006F51C2">
        <w:rPr>
          <w:noProof/>
        </w:rPr>
        <w:t xml:space="preserve"> </w:t>
      </w:r>
      <w:r w:rsidRPr="006F51C2">
        <w:rPr>
          <w:b/>
          <w:sz w:val="24"/>
          <w:szCs w:val="24"/>
        </w:rPr>
        <w:t xml:space="preserve"> </w:t>
      </w:r>
      <w:r w:rsidR="000427D5" w:rsidRPr="000427D5">
        <w:rPr>
          <w:b/>
          <w:sz w:val="24"/>
          <w:szCs w:val="24"/>
        </w:rPr>
        <w:br w:type="page"/>
      </w:r>
      <w:r w:rsidR="007A411C">
        <w:rPr>
          <w:b/>
          <w:bCs/>
          <w:sz w:val="28"/>
          <w:szCs w:val="28"/>
        </w:rPr>
        <w:lastRenderedPageBreak/>
        <w:t>DEVELOPMENT ORDER</w:t>
      </w:r>
    </w:p>
    <w:p w14:paraId="0AAAFF93" w14:textId="77777777" w:rsidR="007A411C" w:rsidRDefault="007A411C" w:rsidP="007A411C">
      <w:pPr>
        <w:ind w:left="360" w:hanging="360"/>
        <w:jc w:val="center"/>
        <w:rPr>
          <w:b/>
          <w:bCs/>
          <w:sz w:val="22"/>
          <w:szCs w:val="22"/>
        </w:rPr>
      </w:pPr>
      <w:r>
        <w:rPr>
          <w:b/>
          <w:bCs/>
        </w:rPr>
        <w:t>Ordinance 2023-24 for File No. LDR 23-06</w:t>
      </w:r>
    </w:p>
    <w:p w14:paraId="5D1B6B37" w14:textId="77777777" w:rsidR="007A411C" w:rsidRDefault="007A411C" w:rsidP="007A411C">
      <w:pPr>
        <w:ind w:left="360" w:hanging="360"/>
        <w:rPr>
          <w:b/>
          <w:bCs/>
        </w:rPr>
      </w:pPr>
      <w:r>
        <w:rPr>
          <w:b/>
          <w:bCs/>
        </w:rPr>
        <w:t>Section 1. General intent &amp; purpose and definitions.</w:t>
      </w:r>
    </w:p>
    <w:p w14:paraId="7FECFB63" w14:textId="77777777" w:rsidR="007A411C" w:rsidRDefault="007A411C" w:rsidP="007A411C">
      <w:r>
        <w:t xml:space="preserve">This Development Order, being a part of and incorporated thereto as Exhibit C within this Ordinance No. 2023-24 (“Ordinance”) shall constitute the Order that the City of Newberry City Commission has issued in response to the application filed by Patrice Boyes, Esq. and CHW Professional Consultants (“Applicant”), on behalf of Norfleet Properties, LLLP; E.D. Norfleet &amp; Sons, Inc.; E.D. Norfleet, Jr. and Phyllis Norfleet; E.D. Norfleet III; Katrina Bill; and, Norfleet Construction Co. (“Owners”), and their heirs, successors, or assigns (hereinafter collectively referred to as “Developer”). The scope of development to be permitted pursuant to this Order includes activities described in the application, and, further, that the City of Newberry City Commission, having received the above referenced documents, and having received all related comments, testimony, and evidence submitted by each party and members of the </w:t>
      </w:r>
      <w:proofErr w:type="gramStart"/>
      <w:r>
        <w:t>general public</w:t>
      </w:r>
      <w:proofErr w:type="gramEnd"/>
      <w:r>
        <w:t>, finds there is competent substantial evidence to support the following findings of fact:</w:t>
      </w:r>
    </w:p>
    <w:p w14:paraId="41750013" w14:textId="77777777" w:rsidR="007A411C" w:rsidRDefault="007A411C" w:rsidP="007A411C">
      <w:pPr>
        <w:pStyle w:val="ListParagraph"/>
        <w:numPr>
          <w:ilvl w:val="0"/>
          <w:numId w:val="23"/>
        </w:numPr>
        <w:autoSpaceDE/>
        <w:autoSpaceDN/>
        <w:adjustRightInd/>
        <w:spacing w:after="160" w:line="256" w:lineRule="auto"/>
        <w:ind w:left="360"/>
      </w:pPr>
      <w:r>
        <w:t xml:space="preserve">That the Applicant submitted to the City of Newberry City Commission the materials attached as part of its application, which are by reference made a part </w:t>
      </w:r>
      <w:proofErr w:type="gramStart"/>
      <w:r>
        <w:t>hereof;</w:t>
      </w:r>
      <w:proofErr w:type="gramEnd"/>
    </w:p>
    <w:p w14:paraId="40909D2A" w14:textId="77777777" w:rsidR="007A411C" w:rsidRDefault="007A411C" w:rsidP="007A411C">
      <w:pPr>
        <w:pStyle w:val="ListParagraph"/>
        <w:numPr>
          <w:ilvl w:val="0"/>
          <w:numId w:val="23"/>
        </w:numPr>
        <w:autoSpaceDE/>
        <w:autoSpaceDN/>
        <w:adjustRightInd/>
        <w:spacing w:after="160" w:line="256" w:lineRule="auto"/>
        <w:ind w:left="360"/>
      </w:pPr>
      <w:r>
        <w:t xml:space="preserve">That the Applicant proposes the development of THE RANCH as a Planned Development (“PD”) located within the City of Newberry’s Urban Service Area, outside of the Historic District, Community Redevelopment Area, Economic Development Overlay, and Transportation Project Enhancement </w:t>
      </w:r>
      <w:proofErr w:type="gramStart"/>
      <w:r>
        <w:t>Areas;</w:t>
      </w:r>
      <w:proofErr w:type="gramEnd"/>
      <w:r>
        <w:t xml:space="preserve"> </w:t>
      </w:r>
    </w:p>
    <w:p w14:paraId="06EA19F2" w14:textId="77777777" w:rsidR="007A411C" w:rsidRDefault="007A411C" w:rsidP="007A411C">
      <w:pPr>
        <w:pStyle w:val="ListParagraph"/>
        <w:numPr>
          <w:ilvl w:val="0"/>
          <w:numId w:val="23"/>
        </w:numPr>
        <w:autoSpaceDE/>
        <w:autoSpaceDN/>
        <w:adjustRightInd/>
        <w:spacing w:after="160" w:line="256" w:lineRule="auto"/>
        <w:ind w:left="360"/>
      </w:pPr>
      <w:r>
        <w:t xml:space="preserve">That the proposed PD is not located in an area of critical State concern as designated pursuant to Section 380.05, Florida Statutes, as </w:t>
      </w:r>
      <w:proofErr w:type="gramStart"/>
      <w:r>
        <w:t>amended;</w:t>
      </w:r>
      <w:proofErr w:type="gramEnd"/>
      <w:r>
        <w:t xml:space="preserve"> </w:t>
      </w:r>
    </w:p>
    <w:p w14:paraId="5DF2098B" w14:textId="77777777" w:rsidR="007A411C" w:rsidRDefault="007A411C" w:rsidP="007A411C">
      <w:pPr>
        <w:pStyle w:val="ListParagraph"/>
        <w:numPr>
          <w:ilvl w:val="0"/>
          <w:numId w:val="23"/>
        </w:numPr>
        <w:autoSpaceDE/>
        <w:autoSpaceDN/>
        <w:adjustRightInd/>
        <w:spacing w:after="160" w:line="256" w:lineRule="auto"/>
        <w:ind w:left="360"/>
      </w:pPr>
      <w:r>
        <w:t>That the proposed PD impacts local, regional, and state public facilities and resources and the Developer and City will coordinate efforts with those public agencies to mitigate impacts as deemed necessary; and</w:t>
      </w:r>
    </w:p>
    <w:p w14:paraId="2964EEEB" w14:textId="77777777" w:rsidR="007A411C" w:rsidRDefault="007A411C" w:rsidP="007A411C">
      <w:pPr>
        <w:pStyle w:val="ListParagraph"/>
        <w:numPr>
          <w:ilvl w:val="0"/>
          <w:numId w:val="23"/>
        </w:numPr>
        <w:autoSpaceDE/>
        <w:autoSpaceDN/>
        <w:adjustRightInd/>
        <w:spacing w:after="160" w:line="256" w:lineRule="auto"/>
        <w:ind w:left="360"/>
      </w:pPr>
      <w:proofErr w:type="gramStart"/>
      <w:r>
        <w:t>That, except</w:t>
      </w:r>
      <w:proofErr w:type="gramEnd"/>
      <w:r>
        <w:t xml:space="preserve"> for concurrency certifications which are not being made as part of this Preliminary Development Plan and Development Order, the project is consistent with the City of Newberry’s Comprehensive Plan and Land Development Regulations.</w:t>
      </w:r>
    </w:p>
    <w:p w14:paraId="202E638C" w14:textId="77777777" w:rsidR="007A411C" w:rsidRDefault="007A411C" w:rsidP="007A411C">
      <w:pPr>
        <w:rPr>
          <w:b/>
          <w:bCs/>
        </w:rPr>
      </w:pPr>
      <w:r>
        <w:rPr>
          <w:b/>
          <w:bCs/>
        </w:rPr>
        <w:t>Section 1.2 Definitions.</w:t>
      </w:r>
    </w:p>
    <w:p w14:paraId="2EADB1D9" w14:textId="77777777" w:rsidR="007A411C" w:rsidRDefault="007A411C" w:rsidP="007A411C">
      <w:pPr>
        <w:ind w:left="360" w:hanging="360"/>
      </w:pPr>
      <w:r>
        <w:rPr>
          <w:i/>
          <w:iCs/>
        </w:rPr>
        <w:t>City</w:t>
      </w:r>
      <w:r>
        <w:t xml:space="preserve"> shall mean the City of Newberry, a Florida municipal corporation.</w:t>
      </w:r>
    </w:p>
    <w:p w14:paraId="588CB051" w14:textId="77777777" w:rsidR="007A411C" w:rsidRDefault="007A411C" w:rsidP="007A411C">
      <w:pPr>
        <w:ind w:left="360" w:hanging="360"/>
      </w:pPr>
      <w:r>
        <w:rPr>
          <w:i/>
          <w:iCs/>
        </w:rPr>
        <w:t>Dark-Sky Lighting</w:t>
      </w:r>
      <w:r>
        <w:t xml:space="preserve"> shall mean lighting designed to meet the Dark Sky requirements of the Land Development Regulations.</w:t>
      </w:r>
    </w:p>
    <w:p w14:paraId="2854EF24" w14:textId="77777777" w:rsidR="007A411C" w:rsidRDefault="007A411C" w:rsidP="007A411C">
      <w:pPr>
        <w:ind w:left="360" w:hanging="360"/>
        <w:rPr>
          <w:i/>
          <w:iCs/>
        </w:rPr>
      </w:pPr>
      <w:r>
        <w:rPr>
          <w:i/>
          <w:iCs/>
        </w:rPr>
        <w:t>Developer</w:t>
      </w:r>
      <w:r>
        <w:t xml:space="preserve"> shall mean the party or parties intending to develop, sell for development, or otherwise </w:t>
      </w:r>
      <w:proofErr w:type="gramStart"/>
      <w:r>
        <w:t>representing</w:t>
      </w:r>
      <w:proofErr w:type="gramEnd"/>
      <w:r>
        <w:t xml:space="preserve"> the party or parties intending to development the property.</w:t>
      </w:r>
    </w:p>
    <w:p w14:paraId="5D66F824" w14:textId="77777777" w:rsidR="007A411C" w:rsidRDefault="007A411C" w:rsidP="007A411C">
      <w:pPr>
        <w:ind w:left="360" w:hanging="360"/>
      </w:pPr>
      <w:r>
        <w:rPr>
          <w:i/>
          <w:iCs/>
        </w:rPr>
        <w:t>Development Program</w:t>
      </w:r>
      <w:r>
        <w:t xml:space="preserve"> shall mean the development program of this Planned Development as established in Section 3.1 of this Development Order. </w:t>
      </w:r>
    </w:p>
    <w:p w14:paraId="524A6288" w14:textId="77777777" w:rsidR="007A411C" w:rsidRDefault="007A411C" w:rsidP="007A411C">
      <w:pPr>
        <w:ind w:left="360" w:hanging="360"/>
      </w:pPr>
      <w:r>
        <w:rPr>
          <w:i/>
          <w:iCs/>
        </w:rPr>
        <w:t>Lot Coverage</w:t>
      </w:r>
      <w:r>
        <w:t xml:space="preserve"> shall mean the percentage of lot area that is covered or occupied by buildings, including accessory buildings.</w:t>
      </w:r>
    </w:p>
    <w:p w14:paraId="0AB2D300" w14:textId="77777777" w:rsidR="007A411C" w:rsidRDefault="007A411C" w:rsidP="007A411C">
      <w:pPr>
        <w:ind w:left="360" w:hanging="360"/>
      </w:pPr>
      <w:r>
        <w:rPr>
          <w:i/>
          <w:iCs/>
        </w:rPr>
        <w:t>Phasing</w:t>
      </w:r>
      <w:r>
        <w:t xml:space="preserve"> shall mean the phases of this Planned Development as established in Section 3.4 of this Development Order.</w:t>
      </w:r>
    </w:p>
    <w:p w14:paraId="09556771" w14:textId="77777777" w:rsidR="007A411C" w:rsidRDefault="007A411C" w:rsidP="007A411C">
      <w:pPr>
        <w:ind w:left="360" w:hanging="360"/>
        <w:rPr>
          <w:b/>
          <w:bCs/>
        </w:rPr>
      </w:pPr>
      <w:r>
        <w:rPr>
          <w:b/>
          <w:bCs/>
        </w:rPr>
        <w:t>Section 2. Findings of fact.</w:t>
      </w:r>
    </w:p>
    <w:p w14:paraId="2C6E159F" w14:textId="77777777" w:rsidR="007A411C" w:rsidRDefault="007A411C" w:rsidP="007A411C">
      <w:r>
        <w:t>The City of Newberry City Commission, having made the above findings of fact, reaches the following conclusions of law:</w:t>
      </w:r>
    </w:p>
    <w:p w14:paraId="164037C0" w14:textId="77777777" w:rsidR="007A411C" w:rsidRDefault="007A411C" w:rsidP="007A411C">
      <w:pPr>
        <w:pStyle w:val="ListParagraph"/>
        <w:numPr>
          <w:ilvl w:val="0"/>
          <w:numId w:val="24"/>
        </w:numPr>
        <w:spacing w:after="160"/>
        <w:ind w:left="360"/>
      </w:pPr>
      <w:r>
        <w:t>These proceedings have been duly conducted pursuant to applicable law and regulations, and based upon the record in this proceeding, the various departments of the City and the Applicant are authorized to approve/conduct development as described herein, subject to the conditions, restrictions, and limitations set forth herein; and</w:t>
      </w:r>
    </w:p>
    <w:p w14:paraId="38A78310" w14:textId="77777777" w:rsidR="007A411C" w:rsidRDefault="007A411C" w:rsidP="007A411C">
      <w:pPr>
        <w:pStyle w:val="ListParagraph"/>
        <w:numPr>
          <w:ilvl w:val="0"/>
          <w:numId w:val="24"/>
        </w:numPr>
        <w:spacing w:after="160"/>
        <w:ind w:left="360"/>
      </w:pPr>
      <w:r>
        <w:t>The review by the City and interested citizens reveals that the Preliminary Development Plan (subject to meeting the terms of concurrency management) for this PD is consistent with the City of Newberry’s Comprehensive Plan and Land Development Regulations, by the terms and conditions of this Development Order and the Application. To the extent that the Application is inconsistent with the terms and conditions of this Order, the terms and conditions of the Order shall prevail. The Applicant shall file a request for concurrency reservation for potable water, sanitary sewer, recreation, storm water facilities, and public school at the time of construction plan approval.</w:t>
      </w:r>
    </w:p>
    <w:p w14:paraId="0D5BCD24" w14:textId="77777777" w:rsidR="007A411C" w:rsidRDefault="007A411C" w:rsidP="007A411C">
      <w:pPr>
        <w:rPr>
          <w:b/>
          <w:bCs/>
        </w:rPr>
      </w:pPr>
      <w:r>
        <w:rPr>
          <w:b/>
          <w:bCs/>
        </w:rPr>
        <w:t xml:space="preserve">Section 3. </w:t>
      </w:r>
      <w:r>
        <w:t xml:space="preserve">Having made the above findings of fact and drawn the above conclusions of law, it is ordered that </w:t>
      </w:r>
      <w:r>
        <w:rPr>
          <w:b/>
          <w:bCs/>
        </w:rPr>
        <w:t>this Development Order is hereby approved, subject to the following conditions, restrictions, and limitations:</w:t>
      </w:r>
    </w:p>
    <w:p w14:paraId="15D986C4" w14:textId="77777777" w:rsidR="007A411C" w:rsidRDefault="007A411C" w:rsidP="007A411C">
      <w:pPr>
        <w:rPr>
          <w:b/>
          <w:bCs/>
        </w:rPr>
      </w:pPr>
      <w:r>
        <w:rPr>
          <w:b/>
          <w:bCs/>
        </w:rPr>
        <w:lastRenderedPageBreak/>
        <w:t>Section 3.1. Preliminary Development Plan and Preliminary Utility Service Plan.</w:t>
      </w:r>
    </w:p>
    <w:p w14:paraId="5513D8E1" w14:textId="77777777" w:rsidR="007A411C" w:rsidRDefault="007A411C" w:rsidP="007A411C">
      <w:pPr>
        <w:ind w:firstLine="360"/>
        <w:rPr>
          <w:b/>
          <w:bCs/>
          <w:i/>
          <w:iCs/>
        </w:rPr>
      </w:pPr>
      <w:r>
        <w:rPr>
          <w:b/>
          <w:bCs/>
          <w:i/>
          <w:iCs/>
        </w:rPr>
        <w:t>3.1.1 Preliminary Development Plan</w:t>
      </w:r>
    </w:p>
    <w:p w14:paraId="75741B1C" w14:textId="61D9D42F" w:rsidR="007A411C" w:rsidRDefault="007A411C" w:rsidP="007A411C">
      <w:pPr>
        <w:rPr>
          <w:u w:val="single"/>
        </w:rPr>
      </w:pPr>
      <w:r>
        <w:rPr>
          <w:noProof/>
        </w:rPr>
        <w:drawing>
          <wp:inline distT="0" distB="0" distL="0" distR="0" wp14:anchorId="4E9AE8B1" wp14:editId="308584CC">
            <wp:extent cx="6141720" cy="4259580"/>
            <wp:effectExtent l="0" t="0" r="0" b="0"/>
            <wp:docPr id="1542739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1720" cy="4259580"/>
                    </a:xfrm>
                    <a:prstGeom prst="rect">
                      <a:avLst/>
                    </a:prstGeom>
                    <a:noFill/>
                    <a:ln>
                      <a:noFill/>
                    </a:ln>
                  </pic:spPr>
                </pic:pic>
              </a:graphicData>
            </a:graphic>
          </wp:inline>
        </w:drawing>
      </w:r>
    </w:p>
    <w:p w14:paraId="10DD1914" w14:textId="0D17BBC2" w:rsidR="002079E3" w:rsidRDefault="002079E3">
      <w:pPr>
        <w:autoSpaceDE/>
        <w:autoSpaceDN/>
        <w:adjustRightInd/>
        <w:rPr>
          <w:b/>
          <w:bCs/>
          <w:i/>
          <w:iCs/>
        </w:rPr>
      </w:pPr>
      <w:r>
        <w:rPr>
          <w:b/>
          <w:bCs/>
          <w:i/>
          <w:iCs/>
        </w:rPr>
        <w:br w:type="page"/>
      </w:r>
    </w:p>
    <w:p w14:paraId="628AAA63" w14:textId="77777777" w:rsidR="002079E3" w:rsidRDefault="002079E3" w:rsidP="007A411C">
      <w:pPr>
        <w:ind w:firstLine="360"/>
        <w:rPr>
          <w:b/>
          <w:bCs/>
          <w:i/>
          <w:iCs/>
        </w:rPr>
      </w:pPr>
    </w:p>
    <w:p w14:paraId="0240E62E" w14:textId="0D4450D1" w:rsidR="007A411C" w:rsidRDefault="007A411C" w:rsidP="007A411C">
      <w:pPr>
        <w:ind w:firstLine="360"/>
        <w:rPr>
          <w:b/>
          <w:bCs/>
          <w:i/>
          <w:iCs/>
        </w:rPr>
      </w:pPr>
      <w:r>
        <w:rPr>
          <w:b/>
          <w:bCs/>
          <w:i/>
          <w:iCs/>
        </w:rPr>
        <w:t>3.1.2 Preliminary Utility Service Plan</w:t>
      </w:r>
    </w:p>
    <w:p w14:paraId="0ECB207F" w14:textId="444EC675" w:rsidR="007A411C" w:rsidRDefault="007A411C" w:rsidP="007A411C">
      <w:pPr>
        <w:rPr>
          <w:u w:val="single"/>
        </w:rPr>
      </w:pPr>
      <w:r>
        <w:rPr>
          <w:noProof/>
        </w:rPr>
        <w:drawing>
          <wp:inline distT="0" distB="0" distL="0" distR="0" wp14:anchorId="27DDBE8C" wp14:editId="4595D404">
            <wp:extent cx="6278880" cy="3954780"/>
            <wp:effectExtent l="0" t="0" r="0" b="0"/>
            <wp:docPr id="1930092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8880" cy="3954780"/>
                    </a:xfrm>
                    <a:prstGeom prst="rect">
                      <a:avLst/>
                    </a:prstGeom>
                    <a:noFill/>
                    <a:ln>
                      <a:noFill/>
                    </a:ln>
                  </pic:spPr>
                </pic:pic>
              </a:graphicData>
            </a:graphic>
          </wp:inline>
        </w:drawing>
      </w:r>
    </w:p>
    <w:p w14:paraId="5CAF8D56" w14:textId="55CDFF99" w:rsidR="002079E3" w:rsidRDefault="002079E3">
      <w:pPr>
        <w:autoSpaceDE/>
        <w:autoSpaceDN/>
        <w:adjustRightInd/>
        <w:rPr>
          <w:b/>
          <w:bCs/>
          <w:i/>
          <w:iCs/>
        </w:rPr>
      </w:pPr>
      <w:r>
        <w:rPr>
          <w:b/>
          <w:bCs/>
          <w:i/>
          <w:iCs/>
        </w:rPr>
        <w:br w:type="page"/>
      </w:r>
    </w:p>
    <w:p w14:paraId="21AA5AF1" w14:textId="1FF387DB" w:rsidR="007A411C" w:rsidRDefault="007A411C" w:rsidP="002079E3">
      <w:pPr>
        <w:spacing w:after="240"/>
        <w:ind w:firstLine="360"/>
        <w:rPr>
          <w:b/>
          <w:bCs/>
          <w:i/>
          <w:iCs/>
        </w:rPr>
      </w:pPr>
      <w:r>
        <w:rPr>
          <w:b/>
          <w:bCs/>
          <w:i/>
          <w:iCs/>
        </w:rPr>
        <w:lastRenderedPageBreak/>
        <w:t>3.1.3 Maximum Development Program and the Land Use Equivalency Matrix</w:t>
      </w:r>
    </w:p>
    <w:p w14:paraId="1F6F9FE0" w14:textId="77777777" w:rsidR="007A411C" w:rsidRDefault="007A411C" w:rsidP="002079E3">
      <w:pPr>
        <w:spacing w:after="240"/>
        <w:ind w:left="360"/>
      </w:pPr>
      <w:r>
        <w:t>The maximum development program as established by the Preliminary Development Plan and Table 1 below may be modified by an equivalency matrix that permits an exchange of land uses within the Planned Development as long as the total development does not exceed the maximum density and intensity established under the Comprehensive Plan and there is no net increase in the impact on required public facilities as projected based upon the Development Program indicated in the table.</w:t>
      </w:r>
    </w:p>
    <w:p w14:paraId="1855236D" w14:textId="77777777" w:rsidR="007A411C" w:rsidRDefault="007A411C" w:rsidP="007A411C">
      <w:pPr>
        <w:pStyle w:val="ListParagraph"/>
        <w:ind w:left="2430"/>
        <w:rPr>
          <w:i/>
          <w:iCs/>
          <w:sz w:val="24"/>
          <w:szCs w:val="24"/>
        </w:rPr>
      </w:pPr>
      <w:r>
        <w:rPr>
          <w:i/>
          <w:iCs/>
          <w:sz w:val="24"/>
          <w:szCs w:val="24"/>
        </w:rPr>
        <w:t>TABLE 1: Maximum Development Program Table</w:t>
      </w:r>
    </w:p>
    <w:tbl>
      <w:tblPr>
        <w:tblStyle w:val="TableGrid"/>
        <w:tblW w:w="8008" w:type="dxa"/>
        <w:tblInd w:w="985" w:type="dxa"/>
        <w:tblLook w:val="04A0" w:firstRow="1" w:lastRow="0" w:firstColumn="1" w:lastColumn="0" w:noHBand="0" w:noVBand="1"/>
      </w:tblPr>
      <w:tblGrid>
        <w:gridCol w:w="2070"/>
        <w:gridCol w:w="1773"/>
        <w:gridCol w:w="1963"/>
        <w:gridCol w:w="2202"/>
      </w:tblGrid>
      <w:tr w:rsidR="007A411C" w14:paraId="5C208912" w14:textId="77777777" w:rsidTr="007A411C">
        <w:trPr>
          <w:trHeight w:val="343"/>
        </w:trPr>
        <w:tc>
          <w:tcPr>
            <w:tcW w:w="2070" w:type="dxa"/>
            <w:tcBorders>
              <w:top w:val="single" w:sz="4" w:space="0" w:color="auto"/>
              <w:left w:val="single" w:sz="4" w:space="0" w:color="auto"/>
              <w:bottom w:val="single" w:sz="4" w:space="0" w:color="auto"/>
              <w:right w:val="single" w:sz="4" w:space="0" w:color="auto"/>
            </w:tcBorders>
            <w:hideMark/>
          </w:tcPr>
          <w:p w14:paraId="153CD847" w14:textId="77777777" w:rsidR="007A411C" w:rsidRDefault="007A411C">
            <w:pPr>
              <w:rPr>
                <w:rFonts w:cstheme="minorHAnsi"/>
                <w:sz w:val="22"/>
                <w:szCs w:val="22"/>
              </w:rPr>
            </w:pPr>
            <w:r>
              <w:rPr>
                <w:rFonts w:cstheme="minorHAnsi"/>
              </w:rPr>
              <w:t>Use</w:t>
            </w:r>
          </w:p>
        </w:tc>
        <w:tc>
          <w:tcPr>
            <w:tcW w:w="1773" w:type="dxa"/>
            <w:tcBorders>
              <w:top w:val="single" w:sz="4" w:space="0" w:color="auto"/>
              <w:left w:val="single" w:sz="4" w:space="0" w:color="auto"/>
              <w:bottom w:val="single" w:sz="4" w:space="0" w:color="auto"/>
              <w:right w:val="single" w:sz="4" w:space="0" w:color="auto"/>
            </w:tcBorders>
            <w:hideMark/>
          </w:tcPr>
          <w:p w14:paraId="5A41E0CD" w14:textId="77777777" w:rsidR="007A411C" w:rsidRDefault="007A411C">
            <w:pPr>
              <w:rPr>
                <w:rFonts w:cstheme="minorHAnsi"/>
              </w:rPr>
            </w:pPr>
            <w:r>
              <w:rPr>
                <w:rFonts w:cstheme="minorHAnsi"/>
              </w:rPr>
              <w:t>Development Program</w:t>
            </w:r>
          </w:p>
        </w:tc>
        <w:tc>
          <w:tcPr>
            <w:tcW w:w="1963" w:type="dxa"/>
            <w:tcBorders>
              <w:top w:val="single" w:sz="4" w:space="0" w:color="auto"/>
              <w:left w:val="single" w:sz="4" w:space="0" w:color="auto"/>
              <w:bottom w:val="single" w:sz="4" w:space="0" w:color="auto"/>
              <w:right w:val="single" w:sz="4" w:space="0" w:color="auto"/>
            </w:tcBorders>
            <w:hideMark/>
          </w:tcPr>
          <w:p w14:paraId="2C59FD7A" w14:textId="77777777" w:rsidR="007A411C" w:rsidRDefault="007A411C">
            <w:pPr>
              <w:rPr>
                <w:rFonts w:cstheme="minorHAnsi"/>
              </w:rPr>
            </w:pPr>
            <w:r>
              <w:rPr>
                <w:rFonts w:cstheme="minorHAnsi"/>
              </w:rPr>
              <w:t xml:space="preserve">Permitted Density </w:t>
            </w:r>
          </w:p>
          <w:p w14:paraId="135E0578" w14:textId="77777777" w:rsidR="007A411C" w:rsidRDefault="007A411C">
            <w:pPr>
              <w:rPr>
                <w:rFonts w:cstheme="minorHAnsi"/>
              </w:rPr>
            </w:pPr>
            <w:r>
              <w:rPr>
                <w:rFonts w:cstheme="minorHAnsi"/>
              </w:rPr>
              <w:t>(Dwelling Units /Gross Acre) Maximum</w:t>
            </w:r>
          </w:p>
        </w:tc>
        <w:tc>
          <w:tcPr>
            <w:tcW w:w="2202" w:type="dxa"/>
            <w:tcBorders>
              <w:top w:val="single" w:sz="4" w:space="0" w:color="auto"/>
              <w:left w:val="single" w:sz="4" w:space="0" w:color="auto"/>
              <w:bottom w:val="single" w:sz="4" w:space="0" w:color="auto"/>
              <w:right w:val="single" w:sz="4" w:space="0" w:color="auto"/>
            </w:tcBorders>
          </w:tcPr>
          <w:p w14:paraId="19047F66" w14:textId="77777777" w:rsidR="007A411C" w:rsidRDefault="007A411C">
            <w:pPr>
              <w:rPr>
                <w:rFonts w:cstheme="minorHAnsi"/>
              </w:rPr>
            </w:pPr>
            <w:r>
              <w:rPr>
                <w:rFonts w:cstheme="minorHAnsi"/>
              </w:rPr>
              <w:t>Permitted Intensity</w:t>
            </w:r>
          </w:p>
          <w:p w14:paraId="5C982560" w14:textId="77777777" w:rsidR="007A411C" w:rsidRDefault="007A411C">
            <w:pPr>
              <w:ind w:right="592"/>
              <w:rPr>
                <w:rFonts w:cstheme="minorHAnsi"/>
              </w:rPr>
            </w:pPr>
            <w:r>
              <w:rPr>
                <w:rFonts w:cstheme="minorHAnsi"/>
              </w:rPr>
              <w:t>FAR/ISR</w:t>
            </w:r>
          </w:p>
          <w:p w14:paraId="53DEABFD" w14:textId="77777777" w:rsidR="007A411C" w:rsidRDefault="007A411C">
            <w:pPr>
              <w:rPr>
                <w:rFonts w:cstheme="minorHAnsi"/>
              </w:rPr>
            </w:pPr>
          </w:p>
          <w:p w14:paraId="2078FA21" w14:textId="77777777" w:rsidR="007A411C" w:rsidRDefault="007A411C">
            <w:pPr>
              <w:rPr>
                <w:rFonts w:cstheme="minorHAnsi"/>
              </w:rPr>
            </w:pPr>
            <w:r>
              <w:rPr>
                <w:rFonts w:cstheme="minorHAnsi"/>
              </w:rPr>
              <w:t>Maximum</w:t>
            </w:r>
          </w:p>
        </w:tc>
      </w:tr>
      <w:tr w:rsidR="007A411C" w14:paraId="5EE75D2F" w14:textId="77777777" w:rsidTr="007A411C">
        <w:trPr>
          <w:trHeight w:val="330"/>
        </w:trPr>
        <w:tc>
          <w:tcPr>
            <w:tcW w:w="2070" w:type="dxa"/>
            <w:tcBorders>
              <w:top w:val="dotted" w:sz="4" w:space="0" w:color="auto"/>
              <w:left w:val="single" w:sz="4" w:space="0" w:color="auto"/>
              <w:bottom w:val="dotted" w:sz="4" w:space="0" w:color="auto"/>
              <w:right w:val="dotted" w:sz="4" w:space="0" w:color="auto"/>
            </w:tcBorders>
            <w:hideMark/>
          </w:tcPr>
          <w:p w14:paraId="67376382" w14:textId="77777777" w:rsidR="007A411C" w:rsidRDefault="007A411C">
            <w:pPr>
              <w:rPr>
                <w:rFonts w:cstheme="minorHAnsi"/>
              </w:rPr>
            </w:pPr>
            <w:r>
              <w:rPr>
                <w:rFonts w:cstheme="minorHAnsi"/>
              </w:rPr>
              <w:t>Single-Family Residential</w:t>
            </w:r>
          </w:p>
        </w:tc>
        <w:tc>
          <w:tcPr>
            <w:tcW w:w="1773" w:type="dxa"/>
            <w:tcBorders>
              <w:top w:val="dotted" w:sz="4" w:space="0" w:color="auto"/>
              <w:left w:val="dotted" w:sz="4" w:space="0" w:color="auto"/>
              <w:bottom w:val="dotted" w:sz="4" w:space="0" w:color="auto"/>
              <w:right w:val="dotted" w:sz="4" w:space="0" w:color="auto"/>
            </w:tcBorders>
            <w:hideMark/>
          </w:tcPr>
          <w:p w14:paraId="52F1689D" w14:textId="77777777" w:rsidR="007A411C" w:rsidRDefault="007A411C">
            <w:pPr>
              <w:rPr>
                <w:rFonts w:cstheme="minorHAnsi"/>
              </w:rPr>
            </w:pPr>
            <w:r>
              <w:rPr>
                <w:rFonts w:cstheme="minorHAnsi"/>
              </w:rPr>
              <w:t>3,875 DU</w:t>
            </w:r>
          </w:p>
        </w:tc>
        <w:tc>
          <w:tcPr>
            <w:tcW w:w="1963" w:type="dxa"/>
            <w:tcBorders>
              <w:top w:val="dotted" w:sz="4" w:space="0" w:color="auto"/>
              <w:left w:val="dotted" w:sz="4" w:space="0" w:color="auto"/>
              <w:bottom w:val="dotted" w:sz="4" w:space="0" w:color="auto"/>
              <w:right w:val="dotted" w:sz="4" w:space="0" w:color="auto"/>
            </w:tcBorders>
            <w:hideMark/>
          </w:tcPr>
          <w:p w14:paraId="12472894" w14:textId="77777777" w:rsidR="007A411C" w:rsidRDefault="007A411C">
            <w:pPr>
              <w:rPr>
                <w:rFonts w:cstheme="minorHAnsi"/>
              </w:rPr>
            </w:pPr>
            <w:r>
              <w:rPr>
                <w:rFonts w:cstheme="minorHAnsi"/>
              </w:rPr>
              <w:t>4 du/ac</w:t>
            </w:r>
          </w:p>
        </w:tc>
        <w:tc>
          <w:tcPr>
            <w:tcW w:w="2202" w:type="dxa"/>
            <w:tcBorders>
              <w:top w:val="dotted" w:sz="4" w:space="0" w:color="auto"/>
              <w:left w:val="dotted" w:sz="4" w:space="0" w:color="auto"/>
              <w:bottom w:val="dotted" w:sz="4" w:space="0" w:color="auto"/>
              <w:right w:val="single" w:sz="4" w:space="0" w:color="auto"/>
            </w:tcBorders>
            <w:hideMark/>
          </w:tcPr>
          <w:p w14:paraId="4EEC6B90" w14:textId="77777777" w:rsidR="007A411C" w:rsidRDefault="007A411C">
            <w:pPr>
              <w:rPr>
                <w:rFonts w:cstheme="minorHAnsi"/>
              </w:rPr>
            </w:pPr>
            <w:r>
              <w:rPr>
                <w:rFonts w:cstheme="minorHAnsi"/>
              </w:rPr>
              <w:t>n/a</w:t>
            </w:r>
          </w:p>
        </w:tc>
      </w:tr>
      <w:tr w:rsidR="007A411C" w14:paraId="616B5DFA" w14:textId="77777777" w:rsidTr="007A411C">
        <w:trPr>
          <w:trHeight w:val="330"/>
        </w:trPr>
        <w:tc>
          <w:tcPr>
            <w:tcW w:w="2070" w:type="dxa"/>
            <w:tcBorders>
              <w:top w:val="dotted" w:sz="4" w:space="0" w:color="auto"/>
              <w:left w:val="single" w:sz="4" w:space="0" w:color="auto"/>
              <w:bottom w:val="dotted" w:sz="4" w:space="0" w:color="auto"/>
              <w:right w:val="dotted" w:sz="4" w:space="0" w:color="auto"/>
            </w:tcBorders>
            <w:hideMark/>
          </w:tcPr>
          <w:p w14:paraId="6CEEC729" w14:textId="77777777" w:rsidR="007A411C" w:rsidRDefault="007A411C">
            <w:pPr>
              <w:rPr>
                <w:rFonts w:cstheme="minorHAnsi"/>
              </w:rPr>
            </w:pPr>
            <w:r>
              <w:rPr>
                <w:rFonts w:cstheme="minorHAnsi"/>
              </w:rPr>
              <w:t>Multi-Attached</w:t>
            </w:r>
          </w:p>
        </w:tc>
        <w:tc>
          <w:tcPr>
            <w:tcW w:w="1773" w:type="dxa"/>
            <w:tcBorders>
              <w:top w:val="dotted" w:sz="4" w:space="0" w:color="auto"/>
              <w:left w:val="dotted" w:sz="4" w:space="0" w:color="auto"/>
              <w:bottom w:val="dotted" w:sz="4" w:space="0" w:color="auto"/>
              <w:right w:val="dotted" w:sz="4" w:space="0" w:color="auto"/>
            </w:tcBorders>
            <w:hideMark/>
          </w:tcPr>
          <w:p w14:paraId="1F5B7019" w14:textId="77777777" w:rsidR="007A411C" w:rsidRDefault="007A411C">
            <w:pPr>
              <w:rPr>
                <w:rFonts w:cstheme="minorHAnsi"/>
              </w:rPr>
            </w:pPr>
            <w:r>
              <w:rPr>
                <w:rFonts w:cstheme="minorHAnsi"/>
              </w:rPr>
              <w:t>125 DU</w:t>
            </w:r>
          </w:p>
        </w:tc>
        <w:tc>
          <w:tcPr>
            <w:tcW w:w="1963" w:type="dxa"/>
            <w:tcBorders>
              <w:top w:val="dotted" w:sz="4" w:space="0" w:color="auto"/>
              <w:left w:val="dotted" w:sz="4" w:space="0" w:color="auto"/>
              <w:bottom w:val="dotted" w:sz="4" w:space="0" w:color="auto"/>
              <w:right w:val="dotted" w:sz="4" w:space="0" w:color="auto"/>
            </w:tcBorders>
            <w:hideMark/>
          </w:tcPr>
          <w:p w14:paraId="11E840D5" w14:textId="77777777" w:rsidR="007A411C" w:rsidRDefault="007A411C">
            <w:pPr>
              <w:rPr>
                <w:rFonts w:cstheme="minorHAnsi"/>
              </w:rPr>
            </w:pPr>
            <w:r>
              <w:rPr>
                <w:rFonts w:cstheme="minorHAnsi"/>
              </w:rPr>
              <w:t>8 du/ac</w:t>
            </w:r>
          </w:p>
        </w:tc>
        <w:tc>
          <w:tcPr>
            <w:tcW w:w="2202" w:type="dxa"/>
            <w:tcBorders>
              <w:top w:val="dotted" w:sz="4" w:space="0" w:color="auto"/>
              <w:left w:val="dotted" w:sz="4" w:space="0" w:color="auto"/>
              <w:bottom w:val="dotted" w:sz="4" w:space="0" w:color="auto"/>
              <w:right w:val="single" w:sz="4" w:space="0" w:color="auto"/>
            </w:tcBorders>
            <w:hideMark/>
          </w:tcPr>
          <w:p w14:paraId="160BE560" w14:textId="77777777" w:rsidR="007A411C" w:rsidRDefault="007A411C">
            <w:pPr>
              <w:rPr>
                <w:rFonts w:cstheme="minorHAnsi"/>
              </w:rPr>
            </w:pPr>
            <w:r>
              <w:rPr>
                <w:rFonts w:cstheme="minorHAnsi"/>
              </w:rPr>
              <w:t>n/a</w:t>
            </w:r>
          </w:p>
        </w:tc>
      </w:tr>
      <w:tr w:rsidR="007A411C" w14:paraId="0628731D" w14:textId="77777777" w:rsidTr="007A411C">
        <w:trPr>
          <w:trHeight w:val="330"/>
        </w:trPr>
        <w:tc>
          <w:tcPr>
            <w:tcW w:w="2070" w:type="dxa"/>
            <w:tcBorders>
              <w:top w:val="dotted" w:sz="4" w:space="0" w:color="auto"/>
              <w:left w:val="single" w:sz="4" w:space="0" w:color="auto"/>
              <w:bottom w:val="dotted" w:sz="4" w:space="0" w:color="auto"/>
              <w:right w:val="dotted" w:sz="4" w:space="0" w:color="auto"/>
            </w:tcBorders>
            <w:hideMark/>
          </w:tcPr>
          <w:p w14:paraId="6F01324F" w14:textId="77777777" w:rsidR="007A411C" w:rsidRDefault="007A411C">
            <w:pPr>
              <w:rPr>
                <w:rFonts w:cstheme="minorHAnsi"/>
              </w:rPr>
            </w:pPr>
            <w:r>
              <w:rPr>
                <w:rFonts w:cstheme="minorHAnsi"/>
              </w:rPr>
              <w:t>Multi- Apartments</w:t>
            </w:r>
          </w:p>
        </w:tc>
        <w:tc>
          <w:tcPr>
            <w:tcW w:w="1773" w:type="dxa"/>
            <w:tcBorders>
              <w:top w:val="dotted" w:sz="4" w:space="0" w:color="auto"/>
              <w:left w:val="dotted" w:sz="4" w:space="0" w:color="auto"/>
              <w:bottom w:val="dotted" w:sz="4" w:space="0" w:color="auto"/>
              <w:right w:val="dotted" w:sz="4" w:space="0" w:color="auto"/>
            </w:tcBorders>
            <w:hideMark/>
          </w:tcPr>
          <w:p w14:paraId="1BF3EF85" w14:textId="77777777" w:rsidR="007A411C" w:rsidRDefault="007A411C">
            <w:pPr>
              <w:rPr>
                <w:rFonts w:cstheme="minorHAnsi"/>
              </w:rPr>
            </w:pPr>
            <w:r>
              <w:rPr>
                <w:rFonts w:cstheme="minorHAnsi"/>
              </w:rPr>
              <w:t>500 DU</w:t>
            </w:r>
          </w:p>
        </w:tc>
        <w:tc>
          <w:tcPr>
            <w:tcW w:w="1963" w:type="dxa"/>
            <w:tcBorders>
              <w:top w:val="dotted" w:sz="4" w:space="0" w:color="auto"/>
              <w:left w:val="dotted" w:sz="4" w:space="0" w:color="auto"/>
              <w:bottom w:val="dotted" w:sz="4" w:space="0" w:color="auto"/>
              <w:right w:val="dotted" w:sz="4" w:space="0" w:color="auto"/>
            </w:tcBorders>
            <w:hideMark/>
          </w:tcPr>
          <w:p w14:paraId="78388DAA" w14:textId="77777777" w:rsidR="007A411C" w:rsidRDefault="007A411C">
            <w:pPr>
              <w:rPr>
                <w:rFonts w:cstheme="minorHAnsi"/>
              </w:rPr>
            </w:pPr>
            <w:r>
              <w:rPr>
                <w:rFonts w:cstheme="minorHAnsi"/>
              </w:rPr>
              <w:t>12 du/ac</w:t>
            </w:r>
          </w:p>
        </w:tc>
        <w:tc>
          <w:tcPr>
            <w:tcW w:w="2202" w:type="dxa"/>
            <w:tcBorders>
              <w:top w:val="dotted" w:sz="4" w:space="0" w:color="auto"/>
              <w:left w:val="dotted" w:sz="4" w:space="0" w:color="auto"/>
              <w:bottom w:val="dotted" w:sz="4" w:space="0" w:color="auto"/>
              <w:right w:val="single" w:sz="4" w:space="0" w:color="auto"/>
            </w:tcBorders>
            <w:hideMark/>
          </w:tcPr>
          <w:p w14:paraId="2C9FB67C" w14:textId="77777777" w:rsidR="007A411C" w:rsidRDefault="007A411C">
            <w:pPr>
              <w:rPr>
                <w:rFonts w:cstheme="minorHAnsi"/>
              </w:rPr>
            </w:pPr>
            <w:r>
              <w:rPr>
                <w:rFonts w:cstheme="minorHAnsi"/>
              </w:rPr>
              <w:t>n/a</w:t>
            </w:r>
          </w:p>
        </w:tc>
      </w:tr>
      <w:tr w:rsidR="007A411C" w14:paraId="743D2F6A" w14:textId="77777777" w:rsidTr="007A411C">
        <w:trPr>
          <w:trHeight w:val="330"/>
        </w:trPr>
        <w:tc>
          <w:tcPr>
            <w:tcW w:w="2070" w:type="dxa"/>
            <w:tcBorders>
              <w:top w:val="dotted" w:sz="4" w:space="0" w:color="auto"/>
              <w:left w:val="single" w:sz="4" w:space="0" w:color="auto"/>
              <w:bottom w:val="dotted" w:sz="4" w:space="0" w:color="auto"/>
              <w:right w:val="dotted" w:sz="4" w:space="0" w:color="auto"/>
            </w:tcBorders>
            <w:hideMark/>
          </w:tcPr>
          <w:p w14:paraId="58D4DEA0" w14:textId="77777777" w:rsidR="007A411C" w:rsidRDefault="007A411C">
            <w:pPr>
              <w:rPr>
                <w:rFonts w:cstheme="minorHAnsi"/>
                <w:b/>
                <w:bCs/>
              </w:rPr>
            </w:pPr>
            <w:r>
              <w:rPr>
                <w:rFonts w:cstheme="minorHAnsi"/>
                <w:b/>
                <w:bCs/>
              </w:rPr>
              <w:t>Residential Total</w:t>
            </w:r>
          </w:p>
        </w:tc>
        <w:tc>
          <w:tcPr>
            <w:tcW w:w="1773" w:type="dxa"/>
            <w:tcBorders>
              <w:top w:val="dotted" w:sz="4" w:space="0" w:color="auto"/>
              <w:left w:val="dotted" w:sz="4" w:space="0" w:color="auto"/>
              <w:bottom w:val="dotted" w:sz="4" w:space="0" w:color="auto"/>
              <w:right w:val="dotted" w:sz="4" w:space="0" w:color="auto"/>
            </w:tcBorders>
            <w:hideMark/>
          </w:tcPr>
          <w:p w14:paraId="796D77B7" w14:textId="77777777" w:rsidR="007A411C" w:rsidRDefault="007A411C">
            <w:pPr>
              <w:rPr>
                <w:rFonts w:cstheme="minorHAnsi"/>
                <w:b/>
                <w:bCs/>
              </w:rPr>
            </w:pPr>
            <w:r>
              <w:rPr>
                <w:rFonts w:cstheme="minorHAnsi"/>
                <w:b/>
                <w:bCs/>
              </w:rPr>
              <w:t>4,500</w:t>
            </w:r>
          </w:p>
        </w:tc>
        <w:tc>
          <w:tcPr>
            <w:tcW w:w="1963" w:type="dxa"/>
            <w:tcBorders>
              <w:top w:val="dotted" w:sz="4" w:space="0" w:color="auto"/>
              <w:left w:val="dotted" w:sz="4" w:space="0" w:color="auto"/>
              <w:bottom w:val="dotted" w:sz="4" w:space="0" w:color="auto"/>
              <w:right w:val="dotted" w:sz="4" w:space="0" w:color="auto"/>
            </w:tcBorders>
            <w:hideMark/>
          </w:tcPr>
          <w:p w14:paraId="77968E47" w14:textId="77777777" w:rsidR="007A411C" w:rsidRDefault="007A411C">
            <w:pPr>
              <w:rPr>
                <w:rFonts w:cstheme="minorHAnsi"/>
                <w:b/>
                <w:bCs/>
              </w:rPr>
            </w:pPr>
            <w:r>
              <w:rPr>
                <w:rFonts w:cstheme="minorHAnsi"/>
                <w:b/>
                <w:bCs/>
              </w:rPr>
              <w:t>4 du/ac</w:t>
            </w:r>
          </w:p>
        </w:tc>
        <w:tc>
          <w:tcPr>
            <w:tcW w:w="2202" w:type="dxa"/>
            <w:tcBorders>
              <w:top w:val="dotted" w:sz="4" w:space="0" w:color="auto"/>
              <w:left w:val="dotted" w:sz="4" w:space="0" w:color="auto"/>
              <w:bottom w:val="dotted" w:sz="4" w:space="0" w:color="auto"/>
              <w:right w:val="single" w:sz="4" w:space="0" w:color="auto"/>
            </w:tcBorders>
            <w:hideMark/>
          </w:tcPr>
          <w:p w14:paraId="65DD4216" w14:textId="77777777" w:rsidR="007A411C" w:rsidRDefault="007A411C">
            <w:pPr>
              <w:rPr>
                <w:rFonts w:cstheme="minorHAnsi"/>
                <w:b/>
                <w:bCs/>
              </w:rPr>
            </w:pPr>
            <w:r>
              <w:rPr>
                <w:rFonts w:cstheme="minorHAnsi"/>
                <w:b/>
                <w:bCs/>
              </w:rPr>
              <w:t>n/a</w:t>
            </w:r>
          </w:p>
        </w:tc>
      </w:tr>
      <w:tr w:rsidR="007A411C" w14:paraId="6EC7D624" w14:textId="77777777" w:rsidTr="007A411C">
        <w:trPr>
          <w:trHeight w:val="330"/>
        </w:trPr>
        <w:tc>
          <w:tcPr>
            <w:tcW w:w="2070" w:type="dxa"/>
            <w:tcBorders>
              <w:top w:val="dotted" w:sz="4" w:space="0" w:color="auto"/>
              <w:left w:val="single" w:sz="4" w:space="0" w:color="auto"/>
              <w:bottom w:val="dotted" w:sz="4" w:space="0" w:color="auto"/>
              <w:right w:val="dotted" w:sz="4" w:space="0" w:color="auto"/>
            </w:tcBorders>
            <w:hideMark/>
          </w:tcPr>
          <w:p w14:paraId="6A50E526" w14:textId="77777777" w:rsidR="007A411C" w:rsidRDefault="007A411C">
            <w:pPr>
              <w:rPr>
                <w:rFonts w:cstheme="minorHAnsi"/>
              </w:rPr>
            </w:pPr>
            <w:r>
              <w:rPr>
                <w:rFonts w:cstheme="minorHAnsi"/>
              </w:rPr>
              <w:t xml:space="preserve">Commercial </w:t>
            </w:r>
          </w:p>
        </w:tc>
        <w:tc>
          <w:tcPr>
            <w:tcW w:w="1773" w:type="dxa"/>
            <w:tcBorders>
              <w:top w:val="dotted" w:sz="4" w:space="0" w:color="auto"/>
              <w:left w:val="dotted" w:sz="4" w:space="0" w:color="auto"/>
              <w:bottom w:val="dotted" w:sz="4" w:space="0" w:color="auto"/>
              <w:right w:val="dotted" w:sz="4" w:space="0" w:color="auto"/>
            </w:tcBorders>
            <w:hideMark/>
          </w:tcPr>
          <w:p w14:paraId="3C73D585" w14:textId="77777777" w:rsidR="007A411C" w:rsidRDefault="007A411C">
            <w:pPr>
              <w:rPr>
                <w:rFonts w:cstheme="minorHAnsi"/>
              </w:rPr>
            </w:pPr>
            <w:r>
              <w:rPr>
                <w:rFonts w:cstheme="minorHAnsi"/>
              </w:rPr>
              <w:t>700,000 SF</w:t>
            </w:r>
          </w:p>
        </w:tc>
        <w:tc>
          <w:tcPr>
            <w:tcW w:w="1963" w:type="dxa"/>
            <w:tcBorders>
              <w:top w:val="dotted" w:sz="4" w:space="0" w:color="auto"/>
              <w:left w:val="dotted" w:sz="4" w:space="0" w:color="auto"/>
              <w:bottom w:val="dotted" w:sz="4" w:space="0" w:color="auto"/>
              <w:right w:val="dotted" w:sz="4" w:space="0" w:color="auto"/>
            </w:tcBorders>
            <w:hideMark/>
          </w:tcPr>
          <w:p w14:paraId="42D32CAD" w14:textId="77777777" w:rsidR="007A411C" w:rsidRDefault="007A411C">
            <w:pPr>
              <w:rPr>
                <w:rFonts w:cstheme="minorHAnsi"/>
              </w:rPr>
            </w:pPr>
            <w:r>
              <w:rPr>
                <w:rFonts w:cstheme="minorHAnsi"/>
              </w:rPr>
              <w:t>n/a</w:t>
            </w:r>
          </w:p>
        </w:tc>
        <w:tc>
          <w:tcPr>
            <w:tcW w:w="2202" w:type="dxa"/>
            <w:tcBorders>
              <w:top w:val="dotted" w:sz="4" w:space="0" w:color="auto"/>
              <w:left w:val="dotted" w:sz="4" w:space="0" w:color="auto"/>
              <w:bottom w:val="dotted" w:sz="4" w:space="0" w:color="auto"/>
              <w:right w:val="single" w:sz="4" w:space="0" w:color="auto"/>
            </w:tcBorders>
            <w:hideMark/>
          </w:tcPr>
          <w:p w14:paraId="3A65CF20" w14:textId="77777777" w:rsidR="007A411C" w:rsidRDefault="007A411C">
            <w:pPr>
              <w:rPr>
                <w:rFonts w:cstheme="minorHAnsi"/>
              </w:rPr>
            </w:pPr>
            <w:r>
              <w:rPr>
                <w:rFonts w:cstheme="minorHAnsi"/>
              </w:rPr>
              <w:t>FAR 2.00/ ISR 1.0</w:t>
            </w:r>
          </w:p>
        </w:tc>
      </w:tr>
      <w:tr w:rsidR="007A411C" w14:paraId="4622F547" w14:textId="77777777" w:rsidTr="007A411C">
        <w:trPr>
          <w:trHeight w:val="343"/>
        </w:trPr>
        <w:tc>
          <w:tcPr>
            <w:tcW w:w="2070" w:type="dxa"/>
            <w:tcBorders>
              <w:top w:val="single" w:sz="4" w:space="0" w:color="auto"/>
              <w:left w:val="single" w:sz="4" w:space="0" w:color="auto"/>
              <w:bottom w:val="single" w:sz="4" w:space="0" w:color="auto"/>
              <w:right w:val="single" w:sz="4" w:space="0" w:color="auto"/>
            </w:tcBorders>
            <w:hideMark/>
          </w:tcPr>
          <w:p w14:paraId="036F02EA" w14:textId="77777777" w:rsidR="007A411C" w:rsidRDefault="007A411C">
            <w:pPr>
              <w:rPr>
                <w:rFonts w:cstheme="minorHAnsi"/>
              </w:rPr>
            </w:pPr>
            <w:r>
              <w:rPr>
                <w:rFonts w:cstheme="minorHAnsi"/>
              </w:rPr>
              <w:t>Assisted Living</w:t>
            </w:r>
          </w:p>
        </w:tc>
        <w:tc>
          <w:tcPr>
            <w:tcW w:w="1773" w:type="dxa"/>
            <w:tcBorders>
              <w:top w:val="single" w:sz="4" w:space="0" w:color="auto"/>
              <w:left w:val="single" w:sz="4" w:space="0" w:color="auto"/>
              <w:bottom w:val="single" w:sz="4" w:space="0" w:color="auto"/>
              <w:right w:val="single" w:sz="4" w:space="0" w:color="auto"/>
            </w:tcBorders>
            <w:hideMark/>
          </w:tcPr>
          <w:p w14:paraId="54CF8AC5" w14:textId="77777777" w:rsidR="007A411C" w:rsidRDefault="007A411C">
            <w:pPr>
              <w:rPr>
                <w:rFonts w:cstheme="minorHAnsi"/>
              </w:rPr>
            </w:pPr>
            <w:r>
              <w:rPr>
                <w:rFonts w:cstheme="minorHAnsi"/>
              </w:rPr>
              <w:t>250 beds</w:t>
            </w:r>
          </w:p>
        </w:tc>
        <w:tc>
          <w:tcPr>
            <w:tcW w:w="1963" w:type="dxa"/>
            <w:tcBorders>
              <w:top w:val="single" w:sz="4" w:space="0" w:color="auto"/>
              <w:left w:val="single" w:sz="4" w:space="0" w:color="auto"/>
              <w:bottom w:val="single" w:sz="4" w:space="0" w:color="auto"/>
              <w:right w:val="single" w:sz="4" w:space="0" w:color="auto"/>
            </w:tcBorders>
            <w:hideMark/>
          </w:tcPr>
          <w:p w14:paraId="390B9783" w14:textId="77777777" w:rsidR="007A411C" w:rsidRDefault="007A411C">
            <w:pPr>
              <w:rPr>
                <w:rFonts w:cstheme="minorHAnsi"/>
              </w:rPr>
            </w:pPr>
            <w:r>
              <w:rPr>
                <w:rFonts w:cstheme="minorHAnsi"/>
              </w:rPr>
              <w:t>n/a</w:t>
            </w:r>
          </w:p>
        </w:tc>
        <w:tc>
          <w:tcPr>
            <w:tcW w:w="2202" w:type="dxa"/>
            <w:tcBorders>
              <w:top w:val="single" w:sz="4" w:space="0" w:color="auto"/>
              <w:left w:val="single" w:sz="4" w:space="0" w:color="auto"/>
              <w:bottom w:val="single" w:sz="4" w:space="0" w:color="auto"/>
              <w:right w:val="single" w:sz="4" w:space="0" w:color="auto"/>
            </w:tcBorders>
            <w:hideMark/>
          </w:tcPr>
          <w:p w14:paraId="0CC03E4E" w14:textId="77777777" w:rsidR="007A411C" w:rsidRDefault="007A411C">
            <w:pPr>
              <w:rPr>
                <w:rFonts w:cstheme="minorHAnsi"/>
              </w:rPr>
            </w:pPr>
            <w:r>
              <w:rPr>
                <w:rFonts w:cstheme="minorHAnsi"/>
              </w:rPr>
              <w:t>FAR 2.00/ ISR 1.0</w:t>
            </w:r>
          </w:p>
        </w:tc>
      </w:tr>
    </w:tbl>
    <w:p w14:paraId="46286E73" w14:textId="77777777" w:rsidR="007A411C" w:rsidRDefault="007A411C" w:rsidP="007A411C">
      <w:pPr>
        <w:ind w:firstLine="360"/>
        <w:rPr>
          <w:rFonts w:asciiTheme="minorHAnsi" w:hAnsiTheme="minorHAnsi" w:cstheme="minorBidi"/>
          <w:kern w:val="2"/>
          <w:sz w:val="24"/>
          <w:szCs w:val="24"/>
          <w14:ligatures w14:val="standardContextual"/>
        </w:rPr>
      </w:pPr>
    </w:p>
    <w:p w14:paraId="1821FA76" w14:textId="77777777" w:rsidR="007A411C" w:rsidRDefault="007A411C" w:rsidP="007A411C">
      <w:pPr>
        <w:pStyle w:val="ListParagraph"/>
        <w:ind w:left="2430"/>
        <w:rPr>
          <w:i/>
          <w:iCs/>
          <w:sz w:val="24"/>
          <w:szCs w:val="24"/>
        </w:rPr>
      </w:pPr>
      <w:r>
        <w:rPr>
          <w:i/>
          <w:iCs/>
          <w:sz w:val="24"/>
          <w:szCs w:val="24"/>
        </w:rPr>
        <w:t>TABLE 2: Equivalency Matrix</w:t>
      </w:r>
    </w:p>
    <w:p w14:paraId="6A923BAF" w14:textId="5D928F3B" w:rsidR="007A411C" w:rsidRDefault="007A411C" w:rsidP="007A411C">
      <w:pPr>
        <w:rPr>
          <w:sz w:val="22"/>
          <w:szCs w:val="22"/>
        </w:rPr>
      </w:pPr>
      <w:r>
        <w:rPr>
          <w:noProof/>
        </w:rPr>
        <w:drawing>
          <wp:inline distT="0" distB="0" distL="0" distR="0" wp14:anchorId="00E3B816" wp14:editId="0DE9CE0D">
            <wp:extent cx="5943600" cy="3954780"/>
            <wp:effectExtent l="0" t="0" r="0" b="7620"/>
            <wp:docPr id="1199991008" name="Picture 3" descr="A table with numbers and a number of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ble with numbers and a number of tabl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070898F8" w14:textId="77777777" w:rsidR="007A411C" w:rsidRDefault="007A411C" w:rsidP="007A411C">
      <w:pPr>
        <w:rPr>
          <w:u w:val="single"/>
        </w:rPr>
      </w:pPr>
    </w:p>
    <w:p w14:paraId="6FE12740" w14:textId="77777777" w:rsidR="007A411C" w:rsidRDefault="007A411C" w:rsidP="007A411C">
      <w:pPr>
        <w:rPr>
          <w:b/>
          <w:bCs/>
        </w:rPr>
      </w:pPr>
      <w:r>
        <w:rPr>
          <w:b/>
          <w:bCs/>
        </w:rPr>
        <w:t>Section 3.2. Permitted uses and structures.</w:t>
      </w:r>
    </w:p>
    <w:p w14:paraId="2BABB531" w14:textId="77777777" w:rsidR="007A411C" w:rsidRDefault="007A411C" w:rsidP="007A411C">
      <w:pPr>
        <w:rPr>
          <w:bCs/>
        </w:rPr>
      </w:pPr>
      <w:r>
        <w:rPr>
          <w:bCs/>
        </w:rPr>
        <w:t xml:space="preserve">Uses permitted within each district delineated on the Preliminary Development Plan (see Section 3.1 of this development order) are described below. </w:t>
      </w:r>
    </w:p>
    <w:p w14:paraId="7552E4DA" w14:textId="77777777" w:rsidR="007A411C" w:rsidRDefault="007A411C" w:rsidP="007A411C">
      <w:pPr>
        <w:ind w:left="360"/>
        <w:rPr>
          <w:b/>
          <w:bCs/>
          <w:i/>
          <w:iCs/>
        </w:rPr>
      </w:pPr>
      <w:r>
        <w:rPr>
          <w:b/>
          <w:bCs/>
          <w:i/>
          <w:iCs/>
        </w:rPr>
        <w:t>3.2.1. Commercial/Mixed Use District</w:t>
      </w:r>
    </w:p>
    <w:p w14:paraId="0822670D" w14:textId="77777777" w:rsidR="007A411C" w:rsidRDefault="007A411C" w:rsidP="007A411C">
      <w:pPr>
        <w:ind w:firstLine="360"/>
        <w:rPr>
          <w:b/>
        </w:rPr>
      </w:pPr>
      <w:r>
        <w:rPr>
          <w:b/>
        </w:rPr>
        <w:t>Uses &amp; Structures Permitted by Right:</w:t>
      </w:r>
    </w:p>
    <w:p w14:paraId="2AD807E9" w14:textId="77777777" w:rsidR="007A411C" w:rsidRDefault="007A411C" w:rsidP="007A411C">
      <w:pPr>
        <w:numPr>
          <w:ilvl w:val="0"/>
          <w:numId w:val="25"/>
        </w:numPr>
        <w:rPr>
          <w:bCs/>
        </w:rPr>
      </w:pPr>
      <w:r>
        <w:rPr>
          <w:bCs/>
        </w:rPr>
        <w:t>All permitted principal and accessory uses and structures within the CG (Commercial, General) and CI (Commercial, Intensive) zoning districts as described in Attachment A of this Development Order.</w:t>
      </w:r>
    </w:p>
    <w:p w14:paraId="3CB4333C" w14:textId="77777777" w:rsidR="007A411C" w:rsidRDefault="007A411C" w:rsidP="007A411C">
      <w:pPr>
        <w:numPr>
          <w:ilvl w:val="0"/>
          <w:numId w:val="25"/>
        </w:numPr>
        <w:rPr>
          <w:bCs/>
        </w:rPr>
      </w:pPr>
      <w:r>
        <w:rPr>
          <w:bCs/>
        </w:rPr>
        <w:t>All permitted principal and accessory uses and structures within the RSF (Residential, Single-Family) and RMF (Residential, Multi-Family) zoning districts contained in Attachment B of this Development Order.</w:t>
      </w:r>
    </w:p>
    <w:p w14:paraId="681E6A79" w14:textId="77777777" w:rsidR="007A411C" w:rsidRDefault="007A411C" w:rsidP="007A411C">
      <w:pPr>
        <w:numPr>
          <w:ilvl w:val="0"/>
          <w:numId w:val="25"/>
        </w:numPr>
        <w:rPr>
          <w:bCs/>
        </w:rPr>
      </w:pPr>
      <w:r>
        <w:rPr>
          <w:bCs/>
        </w:rPr>
        <w:t>Group living facilities.</w:t>
      </w:r>
    </w:p>
    <w:p w14:paraId="71E79073" w14:textId="77777777" w:rsidR="007A411C" w:rsidRDefault="007A411C" w:rsidP="007A411C">
      <w:pPr>
        <w:numPr>
          <w:ilvl w:val="0"/>
          <w:numId w:val="25"/>
        </w:numPr>
        <w:rPr>
          <w:bCs/>
        </w:rPr>
      </w:pPr>
      <w:r>
        <w:rPr>
          <w:bCs/>
        </w:rPr>
        <w:t>Nursing homes and residential homes for the aged.</w:t>
      </w:r>
    </w:p>
    <w:p w14:paraId="5B9D8C94" w14:textId="77777777" w:rsidR="007A411C" w:rsidRDefault="007A411C" w:rsidP="007A411C">
      <w:pPr>
        <w:numPr>
          <w:ilvl w:val="0"/>
          <w:numId w:val="25"/>
        </w:numPr>
        <w:rPr>
          <w:bCs/>
        </w:rPr>
      </w:pPr>
      <w:r>
        <w:rPr>
          <w:bCs/>
        </w:rPr>
        <w:t>Tiny home neighborhoods, as defined in Section 2.1 of the City’s Land Development Regulations and regulated in accordance with Section 4.2.42, Land Development Regulations.</w:t>
      </w:r>
    </w:p>
    <w:p w14:paraId="4626ECE5" w14:textId="77777777" w:rsidR="007A411C" w:rsidRDefault="007A411C" w:rsidP="007A411C">
      <w:pPr>
        <w:numPr>
          <w:ilvl w:val="0"/>
          <w:numId w:val="25"/>
        </w:numPr>
        <w:rPr>
          <w:bCs/>
        </w:rPr>
      </w:pPr>
      <w:r>
        <w:rPr>
          <w:bCs/>
        </w:rPr>
        <w:t>Mini warehouse.</w:t>
      </w:r>
    </w:p>
    <w:p w14:paraId="5E5AF2F1" w14:textId="77777777" w:rsidR="007A411C" w:rsidRDefault="007A411C" w:rsidP="007A411C">
      <w:pPr>
        <w:numPr>
          <w:ilvl w:val="0"/>
          <w:numId w:val="25"/>
        </w:numPr>
        <w:rPr>
          <w:bCs/>
        </w:rPr>
      </w:pPr>
      <w:r>
        <w:rPr>
          <w:bCs/>
        </w:rPr>
        <w:t xml:space="preserve">Outdoor dining facilities (cafes); </w:t>
      </w:r>
      <w:proofErr w:type="gramStart"/>
      <w:r>
        <w:rPr>
          <w:bCs/>
        </w:rPr>
        <w:t>drive through</w:t>
      </w:r>
      <w:proofErr w:type="gramEnd"/>
      <w:r>
        <w:rPr>
          <w:bCs/>
        </w:rPr>
        <w:t xml:space="preserve"> and walk-up windows. </w:t>
      </w:r>
    </w:p>
    <w:p w14:paraId="6226FB03" w14:textId="77777777" w:rsidR="007A411C" w:rsidRDefault="007A411C" w:rsidP="007A411C">
      <w:pPr>
        <w:numPr>
          <w:ilvl w:val="0"/>
          <w:numId w:val="25"/>
        </w:numPr>
        <w:rPr>
          <w:bCs/>
        </w:rPr>
      </w:pPr>
      <w:r>
        <w:rPr>
          <w:bCs/>
        </w:rPr>
        <w:t>Retail commercial outlets for sale of lumber and building supplies, and outdoor retail commercial display areas associated with sale of said items.</w:t>
      </w:r>
    </w:p>
    <w:p w14:paraId="0C789EC6" w14:textId="77777777" w:rsidR="007A411C" w:rsidRDefault="007A411C" w:rsidP="007A411C">
      <w:pPr>
        <w:numPr>
          <w:ilvl w:val="0"/>
          <w:numId w:val="25"/>
        </w:numPr>
        <w:rPr>
          <w:bCs/>
        </w:rPr>
      </w:pPr>
      <w:r>
        <w:rPr>
          <w:bCs/>
        </w:rPr>
        <w:t xml:space="preserve">Recreation store or </w:t>
      </w:r>
      <w:proofErr w:type="gramStart"/>
      <w:r>
        <w:rPr>
          <w:bCs/>
        </w:rPr>
        <w:t>outfitter</w:t>
      </w:r>
      <w:proofErr w:type="gramEnd"/>
      <w:r>
        <w:rPr>
          <w:bCs/>
        </w:rPr>
        <w:t xml:space="preserve"> stores for sale of new and used boats, canoes, kayaks, </w:t>
      </w:r>
      <w:proofErr w:type="gramStart"/>
      <w:r>
        <w:rPr>
          <w:bCs/>
        </w:rPr>
        <w:t>inflatables</w:t>
      </w:r>
      <w:proofErr w:type="gramEnd"/>
      <w:r>
        <w:rPr>
          <w:bCs/>
        </w:rPr>
        <w:t xml:space="preserve"> and similar watercraft.</w:t>
      </w:r>
    </w:p>
    <w:p w14:paraId="0A6FCF00" w14:textId="77777777" w:rsidR="007A411C" w:rsidRDefault="007A411C" w:rsidP="007A411C">
      <w:pPr>
        <w:ind w:left="720"/>
        <w:rPr>
          <w:bCs/>
        </w:rPr>
      </w:pPr>
    </w:p>
    <w:p w14:paraId="7E64E7E5" w14:textId="77777777" w:rsidR="007A411C" w:rsidRDefault="007A411C" w:rsidP="007A411C">
      <w:pPr>
        <w:spacing w:before="120"/>
        <w:ind w:firstLine="360"/>
        <w:rPr>
          <w:b/>
        </w:rPr>
      </w:pPr>
      <w:r>
        <w:rPr>
          <w:b/>
        </w:rPr>
        <w:t>Uses &amp; Structures Permitted by Special Exception:</w:t>
      </w:r>
    </w:p>
    <w:p w14:paraId="0021458A" w14:textId="77777777" w:rsidR="007A411C" w:rsidRDefault="007A411C" w:rsidP="007A411C">
      <w:pPr>
        <w:numPr>
          <w:ilvl w:val="0"/>
          <w:numId w:val="26"/>
        </w:numPr>
        <w:rPr>
          <w:bCs/>
        </w:rPr>
      </w:pPr>
      <w:r>
        <w:rPr>
          <w:bCs/>
        </w:rPr>
        <w:t xml:space="preserve">Package store for sale of alcoholic beverages, bar, tavern, or cocktail lounge. </w:t>
      </w:r>
    </w:p>
    <w:p w14:paraId="177570AA" w14:textId="77777777" w:rsidR="007A411C" w:rsidRDefault="007A411C" w:rsidP="007A411C">
      <w:pPr>
        <w:numPr>
          <w:ilvl w:val="0"/>
          <w:numId w:val="26"/>
        </w:numPr>
        <w:rPr>
          <w:bCs/>
        </w:rPr>
      </w:pPr>
      <w:r>
        <w:rPr>
          <w:bCs/>
        </w:rPr>
        <w:t xml:space="preserve">Automotive service stations (see section 4.2, Land Development Regulations for special design standards for automotive service stations). </w:t>
      </w:r>
    </w:p>
    <w:p w14:paraId="0F6FDFB6" w14:textId="77777777" w:rsidR="007A411C" w:rsidRDefault="007A411C" w:rsidP="007A411C">
      <w:pPr>
        <w:spacing w:before="120"/>
        <w:ind w:firstLine="360"/>
        <w:rPr>
          <w:b/>
        </w:rPr>
      </w:pPr>
      <w:r>
        <w:rPr>
          <w:b/>
        </w:rPr>
        <w:t>Prohibited Uses:</w:t>
      </w:r>
    </w:p>
    <w:p w14:paraId="51E60291" w14:textId="77777777" w:rsidR="007A411C" w:rsidRDefault="007A411C" w:rsidP="007A411C">
      <w:pPr>
        <w:spacing w:before="120"/>
        <w:ind w:firstLine="360"/>
        <w:rPr>
          <w:bCs/>
        </w:rPr>
      </w:pPr>
      <w:r>
        <w:rPr>
          <w:bCs/>
        </w:rPr>
        <w:t>Except as otherwise specifically permitted, the following uses are prohibited.</w:t>
      </w:r>
    </w:p>
    <w:p w14:paraId="7FFD6293" w14:textId="77777777" w:rsidR="007A411C" w:rsidRDefault="007A411C" w:rsidP="007A411C">
      <w:pPr>
        <w:numPr>
          <w:ilvl w:val="0"/>
          <w:numId w:val="27"/>
        </w:numPr>
        <w:ind w:left="720"/>
        <w:rPr>
          <w:bCs/>
        </w:rPr>
      </w:pPr>
      <w:r>
        <w:rPr>
          <w:bCs/>
        </w:rPr>
        <w:t>Commercial tourist attraction.</w:t>
      </w:r>
    </w:p>
    <w:p w14:paraId="36BB9505" w14:textId="77777777" w:rsidR="007A411C" w:rsidRDefault="007A411C" w:rsidP="007A411C">
      <w:pPr>
        <w:numPr>
          <w:ilvl w:val="0"/>
          <w:numId w:val="27"/>
        </w:numPr>
        <w:ind w:left="720"/>
        <w:rPr>
          <w:bCs/>
        </w:rPr>
      </w:pPr>
      <w:r>
        <w:rPr>
          <w:bCs/>
        </w:rPr>
        <w:t xml:space="preserve">Intensive agricultural uses. </w:t>
      </w:r>
    </w:p>
    <w:p w14:paraId="55509EC8" w14:textId="77777777" w:rsidR="007A411C" w:rsidRDefault="007A411C" w:rsidP="007A411C">
      <w:pPr>
        <w:numPr>
          <w:ilvl w:val="0"/>
          <w:numId w:val="27"/>
        </w:numPr>
        <w:ind w:left="720"/>
        <w:rPr>
          <w:bCs/>
        </w:rPr>
      </w:pPr>
      <w:r>
        <w:rPr>
          <w:bCs/>
        </w:rPr>
        <w:t xml:space="preserve">Manufacturing activities, except as specifically permitted. </w:t>
      </w:r>
    </w:p>
    <w:p w14:paraId="10E840D1" w14:textId="77777777" w:rsidR="007A411C" w:rsidRDefault="007A411C" w:rsidP="007A411C">
      <w:pPr>
        <w:numPr>
          <w:ilvl w:val="0"/>
          <w:numId w:val="27"/>
        </w:numPr>
        <w:ind w:left="720"/>
        <w:rPr>
          <w:bCs/>
        </w:rPr>
      </w:pPr>
      <w:r>
        <w:rPr>
          <w:bCs/>
        </w:rPr>
        <w:t xml:space="preserve">Material-oriented industrial development. </w:t>
      </w:r>
    </w:p>
    <w:p w14:paraId="390B4374" w14:textId="77777777" w:rsidR="007A411C" w:rsidRDefault="007A411C" w:rsidP="007A411C">
      <w:pPr>
        <w:numPr>
          <w:ilvl w:val="0"/>
          <w:numId w:val="27"/>
        </w:numPr>
        <w:ind w:left="720"/>
        <w:rPr>
          <w:bCs/>
        </w:rPr>
      </w:pPr>
      <w:r>
        <w:rPr>
          <w:bCs/>
        </w:rPr>
        <w:t xml:space="preserve">Mining activities. </w:t>
      </w:r>
    </w:p>
    <w:p w14:paraId="00279575" w14:textId="77777777" w:rsidR="007A411C" w:rsidRDefault="007A411C" w:rsidP="007A411C">
      <w:pPr>
        <w:numPr>
          <w:ilvl w:val="0"/>
          <w:numId w:val="27"/>
        </w:numPr>
        <w:ind w:left="720"/>
        <w:rPr>
          <w:bCs/>
        </w:rPr>
      </w:pPr>
      <w:r>
        <w:rPr>
          <w:bCs/>
        </w:rPr>
        <w:t xml:space="preserve">Motor vehicle body shop. </w:t>
      </w:r>
    </w:p>
    <w:p w14:paraId="099D5497" w14:textId="77777777" w:rsidR="007A411C" w:rsidRDefault="007A411C" w:rsidP="007A411C">
      <w:pPr>
        <w:numPr>
          <w:ilvl w:val="0"/>
          <w:numId w:val="27"/>
        </w:numPr>
        <w:ind w:left="720"/>
        <w:rPr>
          <w:bCs/>
        </w:rPr>
      </w:pPr>
      <w:r>
        <w:rPr>
          <w:bCs/>
        </w:rPr>
        <w:t xml:space="preserve">Off-site signs except for signs shall be allowed throughout the development for wayfinding and branding purposes. </w:t>
      </w:r>
    </w:p>
    <w:p w14:paraId="73C2E957" w14:textId="77777777" w:rsidR="007A411C" w:rsidRDefault="007A411C" w:rsidP="007A411C">
      <w:pPr>
        <w:numPr>
          <w:ilvl w:val="0"/>
          <w:numId w:val="27"/>
        </w:numPr>
        <w:ind w:left="720"/>
        <w:rPr>
          <w:bCs/>
        </w:rPr>
      </w:pPr>
      <w:r>
        <w:rPr>
          <w:bCs/>
        </w:rPr>
        <w:t xml:space="preserve">Recreational vehicle parks and commercial campgrounds. </w:t>
      </w:r>
    </w:p>
    <w:p w14:paraId="177E9793" w14:textId="77777777" w:rsidR="007A411C" w:rsidRDefault="007A411C" w:rsidP="007A411C">
      <w:pPr>
        <w:numPr>
          <w:ilvl w:val="0"/>
          <w:numId w:val="27"/>
        </w:numPr>
        <w:ind w:left="720"/>
        <w:rPr>
          <w:bCs/>
        </w:rPr>
      </w:pPr>
      <w:r>
        <w:rPr>
          <w:bCs/>
        </w:rPr>
        <w:t xml:space="preserve">Retail commercial outlets for sale of new and used automobiles, motorcycles, trucks </w:t>
      </w:r>
      <w:proofErr w:type="gramStart"/>
      <w:r>
        <w:rPr>
          <w:bCs/>
        </w:rPr>
        <w:t>and,</w:t>
      </w:r>
      <w:proofErr w:type="gramEnd"/>
      <w:r>
        <w:rPr>
          <w:bCs/>
        </w:rPr>
        <w:t xml:space="preserve"> mobile homes, heavy machinery and equipment, lumber and building supplies, and monuments. </w:t>
      </w:r>
    </w:p>
    <w:p w14:paraId="6E899906" w14:textId="77777777" w:rsidR="007A411C" w:rsidRDefault="007A411C" w:rsidP="007A411C">
      <w:pPr>
        <w:numPr>
          <w:ilvl w:val="0"/>
          <w:numId w:val="27"/>
        </w:numPr>
        <w:ind w:left="720"/>
        <w:rPr>
          <w:bCs/>
        </w:rPr>
      </w:pPr>
      <w:r>
        <w:rPr>
          <w:bCs/>
        </w:rPr>
        <w:t xml:space="preserve">Service establishments such as crematory. </w:t>
      </w:r>
    </w:p>
    <w:p w14:paraId="2FC064FB" w14:textId="77777777" w:rsidR="007A411C" w:rsidRDefault="007A411C" w:rsidP="007A411C">
      <w:pPr>
        <w:numPr>
          <w:ilvl w:val="0"/>
          <w:numId w:val="27"/>
        </w:numPr>
        <w:ind w:left="720"/>
        <w:rPr>
          <w:bCs/>
        </w:rPr>
      </w:pPr>
      <w:r>
        <w:rPr>
          <w:bCs/>
        </w:rPr>
        <w:t xml:space="preserve">Warehousing or storage, except in connection with a permitted use. </w:t>
      </w:r>
    </w:p>
    <w:p w14:paraId="02EEB6F2" w14:textId="77777777" w:rsidR="007A411C" w:rsidRDefault="007A411C" w:rsidP="007A411C">
      <w:pPr>
        <w:numPr>
          <w:ilvl w:val="0"/>
          <w:numId w:val="27"/>
        </w:numPr>
        <w:ind w:left="720"/>
        <w:rPr>
          <w:bCs/>
        </w:rPr>
      </w:pPr>
      <w:r>
        <w:rPr>
          <w:bCs/>
        </w:rPr>
        <w:t xml:space="preserve">Any other uses or structures not specifically, provisionally or by reasonable implication permitted herein. Any use which is potentially dangerous, noxious or offensive to neighboring uses in the district or to those who pass on public ways by reason of smoke, odor, noise, glare, fumes, gas, vibration, threat of fire or explosion, emission of particulate matter, interference with radio or television reception, radiation, or likely for other reasons to be incompatible with the character of the district. </w:t>
      </w:r>
    </w:p>
    <w:p w14:paraId="1AED1983" w14:textId="77777777" w:rsidR="007A411C" w:rsidRDefault="007A411C" w:rsidP="007A411C">
      <w:pPr>
        <w:numPr>
          <w:ilvl w:val="0"/>
          <w:numId w:val="27"/>
        </w:numPr>
        <w:ind w:left="720"/>
        <w:rPr>
          <w:bCs/>
        </w:rPr>
      </w:pPr>
      <w:r>
        <w:rPr>
          <w:bCs/>
        </w:rPr>
        <w:t xml:space="preserve">The following uses shall be prohibited within the SR 26 and US 27/41 Gateway Overlay District: </w:t>
      </w:r>
    </w:p>
    <w:p w14:paraId="14F887E4" w14:textId="77777777" w:rsidR="007A411C" w:rsidRDefault="007A411C" w:rsidP="007A411C">
      <w:pPr>
        <w:numPr>
          <w:ilvl w:val="0"/>
          <w:numId w:val="28"/>
        </w:numPr>
        <w:rPr>
          <w:bCs/>
        </w:rPr>
      </w:pPr>
      <w:r>
        <w:rPr>
          <w:bCs/>
        </w:rPr>
        <w:t xml:space="preserve">Automobile body shop. </w:t>
      </w:r>
    </w:p>
    <w:p w14:paraId="1D820362" w14:textId="77777777" w:rsidR="007A411C" w:rsidRDefault="007A411C" w:rsidP="007A411C">
      <w:pPr>
        <w:numPr>
          <w:ilvl w:val="0"/>
          <w:numId w:val="28"/>
        </w:numPr>
        <w:rPr>
          <w:bCs/>
        </w:rPr>
      </w:pPr>
      <w:r>
        <w:rPr>
          <w:bCs/>
        </w:rPr>
        <w:t xml:space="preserve">Commercial parking lot or parking structure as a principal use. </w:t>
      </w:r>
    </w:p>
    <w:p w14:paraId="1FC87A01" w14:textId="77777777" w:rsidR="007A411C" w:rsidRDefault="007A411C" w:rsidP="007A411C">
      <w:pPr>
        <w:numPr>
          <w:ilvl w:val="0"/>
          <w:numId w:val="28"/>
        </w:numPr>
        <w:rPr>
          <w:bCs/>
        </w:rPr>
      </w:pPr>
      <w:r>
        <w:rPr>
          <w:bCs/>
        </w:rPr>
        <w:t xml:space="preserve">Machine shop. </w:t>
      </w:r>
    </w:p>
    <w:p w14:paraId="68FD4311" w14:textId="77777777" w:rsidR="007A411C" w:rsidRDefault="007A411C" w:rsidP="007A411C">
      <w:pPr>
        <w:numPr>
          <w:ilvl w:val="0"/>
          <w:numId w:val="28"/>
        </w:numPr>
        <w:rPr>
          <w:bCs/>
        </w:rPr>
      </w:pPr>
      <w:r>
        <w:rPr>
          <w:bCs/>
        </w:rPr>
        <w:t xml:space="preserve">Outdoor kennel. </w:t>
      </w:r>
    </w:p>
    <w:p w14:paraId="5702C0AF" w14:textId="77777777" w:rsidR="007A411C" w:rsidRDefault="007A411C" w:rsidP="007A411C">
      <w:pPr>
        <w:numPr>
          <w:ilvl w:val="0"/>
          <w:numId w:val="28"/>
        </w:numPr>
        <w:rPr>
          <w:bCs/>
        </w:rPr>
      </w:pPr>
      <w:r>
        <w:rPr>
          <w:bCs/>
        </w:rPr>
        <w:t xml:space="preserve">Recycling drop-off center. </w:t>
      </w:r>
    </w:p>
    <w:p w14:paraId="1FA6EDCA" w14:textId="77777777" w:rsidR="007A411C" w:rsidRDefault="007A411C" w:rsidP="007A411C">
      <w:pPr>
        <w:numPr>
          <w:ilvl w:val="0"/>
          <w:numId w:val="28"/>
        </w:numPr>
        <w:rPr>
          <w:bCs/>
        </w:rPr>
      </w:pPr>
      <w:r>
        <w:rPr>
          <w:bCs/>
        </w:rPr>
        <w:t xml:space="preserve">Sexually oriented businesses. </w:t>
      </w:r>
    </w:p>
    <w:p w14:paraId="48CD669D" w14:textId="2686A7B1" w:rsidR="007A411C" w:rsidRDefault="007A411C" w:rsidP="007A411C">
      <w:pPr>
        <w:rPr>
          <w:b/>
          <w:bCs/>
          <w:i/>
          <w:iCs/>
        </w:rPr>
      </w:pPr>
    </w:p>
    <w:p w14:paraId="0AE6740C" w14:textId="77777777" w:rsidR="007A411C" w:rsidRDefault="007A411C" w:rsidP="007A411C">
      <w:pPr>
        <w:ind w:left="360"/>
        <w:rPr>
          <w:b/>
          <w:bCs/>
          <w:i/>
          <w:iCs/>
        </w:rPr>
      </w:pPr>
      <w:r>
        <w:rPr>
          <w:b/>
          <w:bCs/>
          <w:i/>
          <w:iCs/>
        </w:rPr>
        <w:t>3.2.2 Residential Use District</w:t>
      </w:r>
    </w:p>
    <w:p w14:paraId="45FEB020" w14:textId="77777777" w:rsidR="007A411C" w:rsidRDefault="007A411C" w:rsidP="007A411C">
      <w:pPr>
        <w:ind w:firstLine="360"/>
        <w:rPr>
          <w:b/>
        </w:rPr>
      </w:pPr>
      <w:r>
        <w:rPr>
          <w:b/>
        </w:rPr>
        <w:lastRenderedPageBreak/>
        <w:t>Uses &amp; Structures Permitted by Right:</w:t>
      </w:r>
    </w:p>
    <w:p w14:paraId="56B78534" w14:textId="77777777" w:rsidR="007A411C" w:rsidRDefault="007A411C" w:rsidP="007A411C">
      <w:pPr>
        <w:pStyle w:val="ListParagraph"/>
        <w:numPr>
          <w:ilvl w:val="0"/>
          <w:numId w:val="29"/>
        </w:numPr>
        <w:autoSpaceDE/>
        <w:autoSpaceDN/>
        <w:adjustRightInd/>
        <w:spacing w:line="256" w:lineRule="auto"/>
        <w:rPr>
          <w:bCs/>
        </w:rPr>
      </w:pPr>
      <w:r>
        <w:rPr>
          <w:bCs/>
        </w:rPr>
        <w:t>All permitted principal and accessory uses and structures within the RSF (Residential, Single-Family) zoning district as described in Attachment A of this Development Order.</w:t>
      </w:r>
    </w:p>
    <w:p w14:paraId="597E03F7" w14:textId="77777777" w:rsidR="007A411C" w:rsidRDefault="007A411C" w:rsidP="007A411C">
      <w:pPr>
        <w:numPr>
          <w:ilvl w:val="0"/>
          <w:numId w:val="29"/>
        </w:numPr>
        <w:rPr>
          <w:bCs/>
        </w:rPr>
      </w:pPr>
      <w:r>
        <w:rPr>
          <w:bCs/>
        </w:rPr>
        <w:t>Duplex dwellings.</w:t>
      </w:r>
    </w:p>
    <w:p w14:paraId="526B0008" w14:textId="77777777" w:rsidR="007A411C" w:rsidRDefault="007A411C" w:rsidP="007A411C">
      <w:pPr>
        <w:numPr>
          <w:ilvl w:val="0"/>
          <w:numId w:val="29"/>
        </w:numPr>
        <w:rPr>
          <w:bCs/>
        </w:rPr>
      </w:pPr>
      <w:r>
        <w:rPr>
          <w:bCs/>
        </w:rPr>
        <w:t>Parks maintained by any private association of persons residing in the district.</w:t>
      </w:r>
    </w:p>
    <w:p w14:paraId="6DED22EC" w14:textId="77777777" w:rsidR="007A411C" w:rsidRDefault="007A411C" w:rsidP="007A411C">
      <w:pPr>
        <w:numPr>
          <w:ilvl w:val="0"/>
          <w:numId w:val="29"/>
        </w:numPr>
        <w:rPr>
          <w:bCs/>
        </w:rPr>
      </w:pPr>
      <w:r>
        <w:rPr>
          <w:bCs/>
        </w:rPr>
        <w:t>Tiny home neighborhoods, as defined in Section 2.1 of the City’s Land Development Regulations and regulated in accordance with Section 4.2.42, Land Development Regulations.</w:t>
      </w:r>
    </w:p>
    <w:p w14:paraId="3D61A6C7" w14:textId="77777777" w:rsidR="007A411C" w:rsidRDefault="007A411C" w:rsidP="007A411C">
      <w:pPr>
        <w:numPr>
          <w:ilvl w:val="0"/>
          <w:numId w:val="29"/>
        </w:numPr>
        <w:rPr>
          <w:bCs/>
        </w:rPr>
      </w:pPr>
      <w:r>
        <w:rPr>
          <w:bCs/>
        </w:rPr>
        <w:t>Churches and other houses of worship.</w:t>
      </w:r>
    </w:p>
    <w:p w14:paraId="6648019F" w14:textId="77777777" w:rsidR="007A411C" w:rsidRDefault="007A411C" w:rsidP="007A411C">
      <w:pPr>
        <w:numPr>
          <w:ilvl w:val="0"/>
          <w:numId w:val="29"/>
        </w:numPr>
        <w:rPr>
          <w:bCs/>
        </w:rPr>
      </w:pPr>
      <w:r>
        <w:rPr>
          <w:bCs/>
        </w:rPr>
        <w:t>Golf courses, country clubs, and racquet and tennis clubs.</w:t>
      </w:r>
    </w:p>
    <w:p w14:paraId="73732F17" w14:textId="77777777" w:rsidR="007A411C" w:rsidRDefault="007A411C" w:rsidP="007A411C">
      <w:pPr>
        <w:numPr>
          <w:ilvl w:val="0"/>
          <w:numId w:val="29"/>
        </w:numPr>
        <w:rPr>
          <w:bCs/>
        </w:rPr>
      </w:pPr>
      <w:proofErr w:type="gramStart"/>
      <w:r>
        <w:rPr>
          <w:bCs/>
        </w:rPr>
        <w:t>Child care</w:t>
      </w:r>
      <w:proofErr w:type="gramEnd"/>
      <w:r>
        <w:rPr>
          <w:bCs/>
        </w:rPr>
        <w:t xml:space="preserve"> centers (see also section 4.2.33).</w:t>
      </w:r>
    </w:p>
    <w:p w14:paraId="24E268A3" w14:textId="77777777" w:rsidR="007A411C" w:rsidRDefault="007A411C" w:rsidP="007A411C">
      <w:pPr>
        <w:numPr>
          <w:ilvl w:val="0"/>
          <w:numId w:val="29"/>
        </w:numPr>
        <w:rPr>
          <w:bCs/>
        </w:rPr>
      </w:pPr>
      <w:r>
        <w:rPr>
          <w:bCs/>
        </w:rPr>
        <w:t>Group living facilities.</w:t>
      </w:r>
    </w:p>
    <w:p w14:paraId="1CD5029E" w14:textId="77777777" w:rsidR="007A411C" w:rsidRDefault="007A411C" w:rsidP="007A411C">
      <w:pPr>
        <w:numPr>
          <w:ilvl w:val="0"/>
          <w:numId w:val="29"/>
        </w:numPr>
        <w:rPr>
          <w:bCs/>
        </w:rPr>
      </w:pPr>
      <w:r>
        <w:rPr>
          <w:bCs/>
        </w:rPr>
        <w:t>Nursing homes and residential homes for the aged.</w:t>
      </w:r>
    </w:p>
    <w:p w14:paraId="32D2333A" w14:textId="77777777" w:rsidR="007A411C" w:rsidRDefault="007A411C" w:rsidP="007A411C">
      <w:pPr>
        <w:rPr>
          <w:bCs/>
        </w:rPr>
      </w:pPr>
    </w:p>
    <w:p w14:paraId="45040B04" w14:textId="77777777" w:rsidR="007A411C" w:rsidRDefault="007A411C" w:rsidP="007A411C">
      <w:pPr>
        <w:spacing w:before="120"/>
        <w:ind w:left="360"/>
        <w:rPr>
          <w:b/>
        </w:rPr>
      </w:pPr>
      <w:r>
        <w:rPr>
          <w:b/>
        </w:rPr>
        <w:t>Uses &amp; Structures Permitted by Special Exception:</w:t>
      </w:r>
    </w:p>
    <w:p w14:paraId="47277537" w14:textId="77777777" w:rsidR="007A411C" w:rsidRDefault="007A411C" w:rsidP="007A411C">
      <w:pPr>
        <w:numPr>
          <w:ilvl w:val="0"/>
          <w:numId w:val="30"/>
        </w:numPr>
        <w:rPr>
          <w:bCs/>
        </w:rPr>
      </w:pPr>
      <w:r>
        <w:rPr>
          <w:bCs/>
        </w:rPr>
        <w:t>Cemeteries and mausoleums.</w:t>
      </w:r>
    </w:p>
    <w:p w14:paraId="4FC893E0" w14:textId="77777777" w:rsidR="007A411C" w:rsidRDefault="007A411C" w:rsidP="007A411C">
      <w:pPr>
        <w:numPr>
          <w:ilvl w:val="0"/>
          <w:numId w:val="30"/>
        </w:numPr>
        <w:rPr>
          <w:bCs/>
        </w:rPr>
      </w:pPr>
      <w:r>
        <w:rPr>
          <w:bCs/>
        </w:rPr>
        <w:t>Private clubs and lodges other than those allowed as a permitted use pursuant to Section 3.2.2(4).</w:t>
      </w:r>
    </w:p>
    <w:p w14:paraId="5CDDCA7F" w14:textId="77777777" w:rsidR="007A411C" w:rsidRDefault="007A411C" w:rsidP="007A411C">
      <w:pPr>
        <w:numPr>
          <w:ilvl w:val="0"/>
          <w:numId w:val="30"/>
        </w:numPr>
        <w:rPr>
          <w:bCs/>
        </w:rPr>
      </w:pPr>
      <w:r>
        <w:rPr>
          <w:bCs/>
        </w:rPr>
        <w:t>Public buildings and facilities in keeping with the character and requirements of the district, except those otherwise specified.</w:t>
      </w:r>
    </w:p>
    <w:p w14:paraId="43AE46F9" w14:textId="77777777" w:rsidR="007A411C" w:rsidRDefault="007A411C" w:rsidP="007A411C">
      <w:pPr>
        <w:spacing w:before="120"/>
        <w:ind w:firstLine="360"/>
        <w:rPr>
          <w:b/>
        </w:rPr>
      </w:pPr>
      <w:r>
        <w:rPr>
          <w:b/>
        </w:rPr>
        <w:t>Prohibited Uses:</w:t>
      </w:r>
    </w:p>
    <w:p w14:paraId="0FE59A53" w14:textId="77777777" w:rsidR="007A411C" w:rsidRDefault="007A411C" w:rsidP="007A411C">
      <w:pPr>
        <w:numPr>
          <w:ilvl w:val="0"/>
          <w:numId w:val="31"/>
        </w:numPr>
        <w:rPr>
          <w:bCs/>
        </w:rPr>
      </w:pPr>
      <w:r>
        <w:rPr>
          <w:bCs/>
        </w:rPr>
        <w:t>Trade or service establishments or storage in connection with such establishments.</w:t>
      </w:r>
    </w:p>
    <w:p w14:paraId="765E09C9" w14:textId="77777777" w:rsidR="007A411C" w:rsidRDefault="007A411C" w:rsidP="007A411C">
      <w:pPr>
        <w:numPr>
          <w:ilvl w:val="0"/>
          <w:numId w:val="31"/>
        </w:numPr>
        <w:rPr>
          <w:bCs/>
        </w:rPr>
      </w:pPr>
      <w:r>
        <w:rPr>
          <w:bCs/>
        </w:rPr>
        <w:t xml:space="preserve">Storage or overnight parking of commercial or industrial vehicles </w:t>
      </w:r>
      <w:proofErr w:type="gramStart"/>
      <w:r>
        <w:rPr>
          <w:bCs/>
        </w:rPr>
        <w:t>in excess of</w:t>
      </w:r>
      <w:proofErr w:type="gramEnd"/>
      <w:r>
        <w:rPr>
          <w:bCs/>
        </w:rPr>
        <w:t xml:space="preserve"> one ton capacity.</w:t>
      </w:r>
    </w:p>
    <w:p w14:paraId="10AA6799" w14:textId="77777777" w:rsidR="007A411C" w:rsidRDefault="007A411C" w:rsidP="007A411C">
      <w:pPr>
        <w:numPr>
          <w:ilvl w:val="0"/>
          <w:numId w:val="31"/>
        </w:numPr>
        <w:rPr>
          <w:bCs/>
        </w:rPr>
      </w:pPr>
      <w:r>
        <w:rPr>
          <w:bCs/>
        </w:rPr>
        <w:t>Storage of building materials (except in connection with active construction activities on the premises).</w:t>
      </w:r>
    </w:p>
    <w:p w14:paraId="74550A8E" w14:textId="77777777" w:rsidR="007A411C" w:rsidRDefault="007A411C" w:rsidP="007A411C">
      <w:pPr>
        <w:numPr>
          <w:ilvl w:val="0"/>
          <w:numId w:val="31"/>
        </w:numPr>
        <w:rPr>
          <w:bCs/>
        </w:rPr>
      </w:pPr>
      <w:r>
        <w:rPr>
          <w:bCs/>
        </w:rPr>
        <w:t>Signs shall be allowed throughout the development for wayfinding and branding purposes.</w:t>
      </w:r>
    </w:p>
    <w:p w14:paraId="7D82EFB4" w14:textId="77777777" w:rsidR="007A411C" w:rsidRDefault="007A411C" w:rsidP="007A411C">
      <w:pPr>
        <w:numPr>
          <w:ilvl w:val="0"/>
          <w:numId w:val="31"/>
        </w:numPr>
        <w:rPr>
          <w:bCs/>
        </w:rPr>
      </w:pPr>
      <w:r>
        <w:rPr>
          <w:bCs/>
        </w:rPr>
        <w:t xml:space="preserve">Except under the conditions of section 4.2.38 of the Land Development Regulations (urban agriculture), the keeping of horses, cows, swine, sheep, goats, or poultry; and </w:t>
      </w:r>
    </w:p>
    <w:p w14:paraId="2332D1FD" w14:textId="77777777" w:rsidR="007A411C" w:rsidRDefault="007A411C" w:rsidP="007A411C">
      <w:pPr>
        <w:numPr>
          <w:ilvl w:val="0"/>
          <w:numId w:val="31"/>
        </w:numPr>
        <w:rPr>
          <w:bCs/>
        </w:rPr>
      </w:pPr>
      <w:r>
        <w:rPr>
          <w:bCs/>
        </w:rPr>
        <w:t>Any use or structure not specifically, provisionally, or by reasonable implication permitted herein as a special exception.</w:t>
      </w:r>
    </w:p>
    <w:p w14:paraId="6FAEABA7" w14:textId="77777777" w:rsidR="007A411C" w:rsidRDefault="007A411C" w:rsidP="007A411C">
      <w:pPr>
        <w:ind w:left="720"/>
        <w:rPr>
          <w:bCs/>
        </w:rPr>
      </w:pPr>
    </w:p>
    <w:p w14:paraId="1AFC1038" w14:textId="77777777" w:rsidR="007A411C" w:rsidRDefault="007A411C" w:rsidP="007A411C">
      <w:pPr>
        <w:ind w:left="720"/>
        <w:rPr>
          <w:bCs/>
        </w:rPr>
      </w:pPr>
    </w:p>
    <w:p w14:paraId="5306F335" w14:textId="77777777" w:rsidR="007A411C" w:rsidRDefault="007A411C" w:rsidP="007A411C">
      <w:pPr>
        <w:rPr>
          <w:b/>
          <w:bCs/>
        </w:rPr>
      </w:pPr>
      <w:r>
        <w:rPr>
          <w:b/>
          <w:bCs/>
        </w:rPr>
        <w:t>Section 3.3. Development standards.</w:t>
      </w:r>
    </w:p>
    <w:p w14:paraId="4CAD214E" w14:textId="77777777" w:rsidR="007A411C" w:rsidRDefault="007A411C" w:rsidP="007A411C">
      <w:pPr>
        <w:pStyle w:val="ListParagraph"/>
        <w:ind w:left="360"/>
        <w:rPr>
          <w:b/>
          <w:bCs/>
          <w:i/>
          <w:iCs/>
        </w:rPr>
      </w:pPr>
      <w:r>
        <w:rPr>
          <w:b/>
          <w:bCs/>
          <w:i/>
          <w:iCs/>
        </w:rPr>
        <w:t>3.3.1 Development Standards by Lot Types</w:t>
      </w:r>
    </w:p>
    <w:tbl>
      <w:tblPr>
        <w:tblW w:w="7020" w:type="dxa"/>
        <w:tblInd w:w="355" w:type="dxa"/>
        <w:tblLook w:val="04A0" w:firstRow="1" w:lastRow="0" w:firstColumn="1" w:lastColumn="0" w:noHBand="0" w:noVBand="1"/>
      </w:tblPr>
      <w:tblGrid>
        <w:gridCol w:w="3075"/>
        <w:gridCol w:w="40"/>
        <w:gridCol w:w="2984"/>
        <w:gridCol w:w="96"/>
        <w:gridCol w:w="825"/>
      </w:tblGrid>
      <w:tr w:rsidR="007A411C" w14:paraId="39D17186" w14:textId="77777777" w:rsidTr="007A411C">
        <w:trPr>
          <w:trHeight w:val="380"/>
        </w:trPr>
        <w:tc>
          <w:tcPr>
            <w:tcW w:w="7020" w:type="dxa"/>
            <w:gridSpan w:val="5"/>
            <w:tcBorders>
              <w:top w:val="nil"/>
              <w:left w:val="nil"/>
              <w:bottom w:val="single" w:sz="4" w:space="0" w:color="auto"/>
              <w:right w:val="nil"/>
            </w:tcBorders>
            <w:noWrap/>
            <w:vAlign w:val="bottom"/>
            <w:hideMark/>
          </w:tcPr>
          <w:p w14:paraId="28E37A24" w14:textId="77777777" w:rsidR="007A411C" w:rsidRDefault="007A411C">
            <w:pPr>
              <w:jc w:val="center"/>
              <w:rPr>
                <w:i/>
                <w:iCs/>
                <w:sz w:val="24"/>
                <w:szCs w:val="24"/>
              </w:rPr>
            </w:pPr>
            <w:r>
              <w:rPr>
                <w:i/>
                <w:iCs/>
                <w:sz w:val="24"/>
                <w:szCs w:val="24"/>
              </w:rPr>
              <w:t>TABLE 3: Development Standards Table</w:t>
            </w:r>
          </w:p>
        </w:tc>
      </w:tr>
      <w:tr w:rsidR="007A411C" w14:paraId="4046633B" w14:textId="77777777" w:rsidTr="007A411C">
        <w:trPr>
          <w:trHeight w:val="300"/>
        </w:trPr>
        <w:tc>
          <w:tcPr>
            <w:tcW w:w="7020" w:type="dxa"/>
            <w:gridSpan w:val="5"/>
            <w:tcBorders>
              <w:top w:val="single" w:sz="4" w:space="0" w:color="auto"/>
              <w:left w:val="single" w:sz="4" w:space="0" w:color="auto"/>
              <w:bottom w:val="single" w:sz="4" w:space="0" w:color="auto"/>
              <w:right w:val="single" w:sz="4" w:space="0" w:color="000000"/>
            </w:tcBorders>
            <w:noWrap/>
            <w:vAlign w:val="bottom"/>
          </w:tcPr>
          <w:p w14:paraId="32FCEF3B" w14:textId="77777777" w:rsidR="007A411C" w:rsidRDefault="007A411C">
            <w:pPr>
              <w:jc w:val="center"/>
              <w:rPr>
                <w:rFonts w:ascii="Calibri" w:hAnsi="Calibri" w:cs="Calibri"/>
                <w:b/>
                <w:bCs/>
                <w:color w:val="000000"/>
                <w:sz w:val="22"/>
                <w:szCs w:val="22"/>
              </w:rPr>
            </w:pPr>
          </w:p>
          <w:p w14:paraId="2C728433" w14:textId="77777777" w:rsidR="007A411C" w:rsidRDefault="007A411C">
            <w:pPr>
              <w:jc w:val="center"/>
              <w:rPr>
                <w:rFonts w:ascii="Calibri" w:hAnsi="Calibri" w:cs="Calibri"/>
                <w:b/>
                <w:bCs/>
                <w:color w:val="000000"/>
              </w:rPr>
            </w:pPr>
            <w:r>
              <w:rPr>
                <w:rFonts w:ascii="Calibri" w:hAnsi="Calibri" w:cs="Calibri"/>
                <w:b/>
                <w:bCs/>
                <w:color w:val="000000"/>
              </w:rPr>
              <w:t>Residential Lot Types</w:t>
            </w:r>
          </w:p>
        </w:tc>
      </w:tr>
      <w:tr w:rsidR="007A411C" w14:paraId="13C9D2AC" w14:textId="77777777" w:rsidTr="007A411C">
        <w:trPr>
          <w:trHeight w:val="300"/>
        </w:trPr>
        <w:tc>
          <w:tcPr>
            <w:tcW w:w="3075" w:type="dxa"/>
            <w:vMerge w:val="restart"/>
            <w:tcBorders>
              <w:top w:val="nil"/>
              <w:left w:val="single" w:sz="4" w:space="0" w:color="auto"/>
              <w:bottom w:val="single" w:sz="4" w:space="0" w:color="000000"/>
              <w:right w:val="single" w:sz="4" w:space="0" w:color="auto"/>
            </w:tcBorders>
            <w:noWrap/>
            <w:hideMark/>
          </w:tcPr>
          <w:p w14:paraId="6759ABF1" w14:textId="77777777" w:rsidR="007A411C" w:rsidRDefault="007A411C">
            <w:pPr>
              <w:jc w:val="right"/>
              <w:rPr>
                <w:rFonts w:ascii="Calibri" w:hAnsi="Calibri" w:cs="Calibri"/>
                <w:b/>
                <w:bCs/>
                <w:color w:val="000000"/>
              </w:rPr>
            </w:pPr>
            <w:r>
              <w:rPr>
                <w:rFonts w:ascii="Calibri" w:hAnsi="Calibri" w:cs="Calibri"/>
                <w:b/>
                <w:bCs/>
                <w:color w:val="000000"/>
              </w:rPr>
              <w:t>Urban Detached SFR</w:t>
            </w:r>
          </w:p>
          <w:p w14:paraId="762630C3" w14:textId="77777777" w:rsidR="007A411C" w:rsidRDefault="007A411C">
            <w:pPr>
              <w:jc w:val="right"/>
              <w:rPr>
                <w:rFonts w:ascii="Calibri" w:hAnsi="Calibri" w:cs="Calibri"/>
                <w:b/>
                <w:bCs/>
                <w:color w:val="000000"/>
              </w:rPr>
            </w:pPr>
            <w:r>
              <w:rPr>
                <w:rFonts w:ascii="Calibri" w:hAnsi="Calibri" w:cs="Calibri"/>
                <w:b/>
                <w:bCs/>
                <w:color w:val="000000"/>
              </w:rPr>
              <w:t>(aka Cottage Type)</w:t>
            </w:r>
          </w:p>
        </w:tc>
        <w:tc>
          <w:tcPr>
            <w:tcW w:w="3024" w:type="dxa"/>
            <w:gridSpan w:val="2"/>
            <w:tcBorders>
              <w:top w:val="nil"/>
              <w:left w:val="nil"/>
              <w:bottom w:val="single" w:sz="4" w:space="0" w:color="auto"/>
              <w:right w:val="single" w:sz="4" w:space="0" w:color="auto"/>
            </w:tcBorders>
            <w:noWrap/>
            <w:vAlign w:val="bottom"/>
            <w:hideMark/>
          </w:tcPr>
          <w:p w14:paraId="32299E7A" w14:textId="77777777" w:rsidR="007A411C" w:rsidRDefault="007A411C">
            <w:pPr>
              <w:rPr>
                <w:rFonts w:ascii="Calibri" w:hAnsi="Calibri" w:cs="Calibri"/>
                <w:color w:val="000000"/>
              </w:rPr>
            </w:pPr>
            <w:r>
              <w:rPr>
                <w:rFonts w:ascii="Calibri" w:hAnsi="Calibri" w:cs="Calibri"/>
                <w:color w:val="000000"/>
              </w:rPr>
              <w:t>Min. Lot Width</w:t>
            </w:r>
          </w:p>
        </w:tc>
        <w:tc>
          <w:tcPr>
            <w:tcW w:w="921" w:type="dxa"/>
            <w:gridSpan w:val="2"/>
            <w:tcBorders>
              <w:top w:val="nil"/>
              <w:left w:val="nil"/>
              <w:bottom w:val="single" w:sz="4" w:space="0" w:color="auto"/>
              <w:right w:val="single" w:sz="4" w:space="0" w:color="auto"/>
            </w:tcBorders>
            <w:noWrap/>
            <w:vAlign w:val="bottom"/>
            <w:hideMark/>
          </w:tcPr>
          <w:p w14:paraId="01B18F0F" w14:textId="77777777" w:rsidR="007A411C" w:rsidRDefault="007A411C">
            <w:pPr>
              <w:rPr>
                <w:rFonts w:ascii="Calibri" w:hAnsi="Calibri" w:cs="Calibri"/>
                <w:color w:val="000000"/>
              </w:rPr>
            </w:pPr>
            <w:r>
              <w:rPr>
                <w:rFonts w:ascii="Calibri" w:hAnsi="Calibri" w:cs="Calibri"/>
                <w:color w:val="000000"/>
              </w:rPr>
              <w:t>40 feet</w:t>
            </w:r>
          </w:p>
        </w:tc>
      </w:tr>
      <w:tr w:rsidR="007A411C" w14:paraId="06C426CB"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A3C802"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663CD60E" w14:textId="77777777" w:rsidR="007A411C" w:rsidRDefault="007A411C">
            <w:pPr>
              <w:rPr>
                <w:rFonts w:ascii="Calibri" w:hAnsi="Calibri" w:cs="Calibri"/>
                <w:color w:val="000000"/>
              </w:rPr>
            </w:pPr>
            <w:r>
              <w:rPr>
                <w:rFonts w:ascii="Calibri" w:hAnsi="Calibri" w:cs="Calibri"/>
                <w:color w:val="000000"/>
              </w:rPr>
              <w:t>Min. Lot Depth</w:t>
            </w:r>
          </w:p>
        </w:tc>
        <w:tc>
          <w:tcPr>
            <w:tcW w:w="921" w:type="dxa"/>
            <w:gridSpan w:val="2"/>
            <w:tcBorders>
              <w:top w:val="nil"/>
              <w:left w:val="nil"/>
              <w:bottom w:val="single" w:sz="4" w:space="0" w:color="auto"/>
              <w:right w:val="single" w:sz="4" w:space="0" w:color="auto"/>
            </w:tcBorders>
            <w:noWrap/>
            <w:vAlign w:val="bottom"/>
            <w:hideMark/>
          </w:tcPr>
          <w:p w14:paraId="46ECD56A" w14:textId="77777777" w:rsidR="007A411C" w:rsidRDefault="007A411C">
            <w:pPr>
              <w:jc w:val="right"/>
              <w:rPr>
                <w:rFonts w:ascii="Calibri" w:hAnsi="Calibri" w:cs="Calibri"/>
                <w:color w:val="000000"/>
              </w:rPr>
            </w:pPr>
            <w:r>
              <w:rPr>
                <w:rFonts w:ascii="Calibri" w:hAnsi="Calibri" w:cs="Calibri"/>
                <w:color w:val="000000"/>
              </w:rPr>
              <w:t>105</w:t>
            </w:r>
          </w:p>
        </w:tc>
      </w:tr>
      <w:tr w:rsidR="007A411C" w14:paraId="010913DB"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10E0B6"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8896AFA" w14:textId="77777777" w:rsidR="007A411C" w:rsidRDefault="007A411C">
            <w:pPr>
              <w:rPr>
                <w:rFonts w:ascii="Calibri" w:hAnsi="Calibri" w:cs="Calibri"/>
                <w:color w:val="000000"/>
              </w:rPr>
            </w:pPr>
            <w:r>
              <w:rPr>
                <w:rFonts w:ascii="Calibri" w:hAnsi="Calibri" w:cs="Calibri"/>
                <w:color w:val="000000"/>
              </w:rPr>
              <w:t>Min. Front Yard Setback</w:t>
            </w:r>
          </w:p>
        </w:tc>
        <w:tc>
          <w:tcPr>
            <w:tcW w:w="921" w:type="dxa"/>
            <w:gridSpan w:val="2"/>
            <w:tcBorders>
              <w:top w:val="nil"/>
              <w:left w:val="nil"/>
              <w:bottom w:val="single" w:sz="4" w:space="0" w:color="auto"/>
              <w:right w:val="single" w:sz="4" w:space="0" w:color="auto"/>
            </w:tcBorders>
            <w:noWrap/>
            <w:vAlign w:val="bottom"/>
            <w:hideMark/>
          </w:tcPr>
          <w:p w14:paraId="2AD9CFE3" w14:textId="77777777" w:rsidR="007A411C" w:rsidRDefault="007A411C">
            <w:pPr>
              <w:jc w:val="right"/>
              <w:rPr>
                <w:rFonts w:ascii="Calibri" w:hAnsi="Calibri" w:cs="Calibri"/>
                <w:color w:val="000000"/>
              </w:rPr>
            </w:pPr>
            <w:r>
              <w:rPr>
                <w:rFonts w:ascii="Calibri" w:hAnsi="Calibri" w:cs="Calibri"/>
                <w:color w:val="000000"/>
              </w:rPr>
              <w:t>8.5</w:t>
            </w:r>
          </w:p>
        </w:tc>
      </w:tr>
      <w:tr w:rsidR="007A411C" w14:paraId="22863837"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4B6A9C"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6C45C966" w14:textId="77777777" w:rsidR="007A411C" w:rsidRDefault="007A411C">
            <w:pPr>
              <w:rPr>
                <w:rFonts w:ascii="Calibri" w:hAnsi="Calibri" w:cs="Calibri"/>
                <w:color w:val="000000"/>
              </w:rPr>
            </w:pPr>
            <w:r>
              <w:rPr>
                <w:rFonts w:ascii="Calibri" w:hAnsi="Calibri" w:cs="Calibri"/>
                <w:color w:val="000000"/>
              </w:rPr>
              <w:t>Min. Side Yard Setback</w:t>
            </w:r>
          </w:p>
        </w:tc>
        <w:tc>
          <w:tcPr>
            <w:tcW w:w="921" w:type="dxa"/>
            <w:gridSpan w:val="2"/>
            <w:tcBorders>
              <w:top w:val="nil"/>
              <w:left w:val="nil"/>
              <w:bottom w:val="single" w:sz="4" w:space="0" w:color="auto"/>
              <w:right w:val="single" w:sz="4" w:space="0" w:color="auto"/>
            </w:tcBorders>
            <w:noWrap/>
            <w:vAlign w:val="bottom"/>
            <w:hideMark/>
          </w:tcPr>
          <w:p w14:paraId="4C4C347B" w14:textId="77777777" w:rsidR="007A411C" w:rsidRDefault="007A411C">
            <w:pPr>
              <w:jc w:val="right"/>
              <w:rPr>
                <w:rFonts w:ascii="Calibri" w:hAnsi="Calibri" w:cs="Calibri"/>
                <w:color w:val="000000"/>
              </w:rPr>
            </w:pPr>
            <w:r>
              <w:rPr>
                <w:rFonts w:ascii="Calibri" w:hAnsi="Calibri" w:cs="Calibri"/>
                <w:color w:val="000000"/>
              </w:rPr>
              <w:t>5.0</w:t>
            </w:r>
          </w:p>
        </w:tc>
      </w:tr>
      <w:tr w:rsidR="007A411C" w14:paraId="398BCFA9"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2274E2E"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08EEF708" w14:textId="77777777" w:rsidR="007A411C" w:rsidRDefault="007A411C">
            <w:pPr>
              <w:rPr>
                <w:rFonts w:ascii="Calibri" w:hAnsi="Calibri" w:cs="Calibri"/>
                <w:color w:val="000000"/>
              </w:rPr>
            </w:pPr>
            <w:r>
              <w:rPr>
                <w:rFonts w:ascii="Calibri" w:hAnsi="Calibri" w:cs="Calibri"/>
                <w:color w:val="000000"/>
              </w:rPr>
              <w:t>Min. Rear Yard Setback</w:t>
            </w:r>
          </w:p>
        </w:tc>
        <w:tc>
          <w:tcPr>
            <w:tcW w:w="921" w:type="dxa"/>
            <w:gridSpan w:val="2"/>
            <w:tcBorders>
              <w:top w:val="nil"/>
              <w:left w:val="nil"/>
              <w:bottom w:val="single" w:sz="4" w:space="0" w:color="auto"/>
              <w:right w:val="single" w:sz="4" w:space="0" w:color="auto"/>
            </w:tcBorders>
            <w:noWrap/>
            <w:vAlign w:val="bottom"/>
            <w:hideMark/>
          </w:tcPr>
          <w:p w14:paraId="5287A9D9" w14:textId="77777777" w:rsidR="007A411C" w:rsidRDefault="007A411C">
            <w:pPr>
              <w:jc w:val="right"/>
              <w:rPr>
                <w:rFonts w:ascii="Calibri" w:hAnsi="Calibri" w:cs="Calibri"/>
                <w:color w:val="000000"/>
              </w:rPr>
            </w:pPr>
            <w:r>
              <w:rPr>
                <w:rFonts w:ascii="Calibri" w:hAnsi="Calibri" w:cs="Calibri"/>
                <w:color w:val="000000"/>
              </w:rPr>
              <w:t>10</w:t>
            </w:r>
          </w:p>
        </w:tc>
      </w:tr>
      <w:tr w:rsidR="007A411C" w14:paraId="672FDD28"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AA5A77"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795D596C" w14:textId="77777777" w:rsidR="007A411C" w:rsidRDefault="007A411C">
            <w:pPr>
              <w:rPr>
                <w:rFonts w:ascii="Calibri" w:hAnsi="Calibri" w:cs="Calibri"/>
                <w:color w:val="000000"/>
              </w:rPr>
            </w:pPr>
            <w:r>
              <w:rPr>
                <w:rFonts w:ascii="Calibri" w:hAnsi="Calibri" w:cs="Calibri"/>
                <w:color w:val="000000"/>
              </w:rPr>
              <w:t>Maximum Bldg. Height</w:t>
            </w:r>
          </w:p>
        </w:tc>
        <w:tc>
          <w:tcPr>
            <w:tcW w:w="921" w:type="dxa"/>
            <w:gridSpan w:val="2"/>
            <w:tcBorders>
              <w:top w:val="nil"/>
              <w:left w:val="nil"/>
              <w:bottom w:val="single" w:sz="4" w:space="0" w:color="auto"/>
              <w:right w:val="single" w:sz="4" w:space="0" w:color="auto"/>
            </w:tcBorders>
            <w:noWrap/>
            <w:vAlign w:val="bottom"/>
            <w:hideMark/>
          </w:tcPr>
          <w:p w14:paraId="0D3C8E68" w14:textId="77777777" w:rsidR="007A411C" w:rsidRDefault="007A411C">
            <w:pPr>
              <w:jc w:val="right"/>
              <w:rPr>
                <w:rFonts w:ascii="Calibri" w:hAnsi="Calibri" w:cs="Calibri"/>
                <w:color w:val="000000"/>
              </w:rPr>
            </w:pPr>
            <w:r>
              <w:rPr>
                <w:rFonts w:ascii="Calibri" w:hAnsi="Calibri" w:cs="Calibri"/>
                <w:color w:val="000000"/>
              </w:rPr>
              <w:t>35</w:t>
            </w:r>
          </w:p>
        </w:tc>
      </w:tr>
      <w:tr w:rsidR="007A411C" w14:paraId="20E59340" w14:textId="77777777" w:rsidTr="007A411C">
        <w:trPr>
          <w:trHeight w:val="300"/>
        </w:trPr>
        <w:tc>
          <w:tcPr>
            <w:tcW w:w="3075" w:type="dxa"/>
            <w:vMerge w:val="restart"/>
            <w:tcBorders>
              <w:top w:val="nil"/>
              <w:left w:val="single" w:sz="4" w:space="0" w:color="auto"/>
              <w:bottom w:val="single" w:sz="4" w:space="0" w:color="000000"/>
              <w:right w:val="single" w:sz="4" w:space="0" w:color="auto"/>
            </w:tcBorders>
            <w:noWrap/>
            <w:hideMark/>
          </w:tcPr>
          <w:p w14:paraId="32443C45" w14:textId="77777777" w:rsidR="007A411C" w:rsidRDefault="007A411C">
            <w:pPr>
              <w:jc w:val="right"/>
              <w:rPr>
                <w:rFonts w:ascii="Calibri" w:hAnsi="Calibri" w:cs="Calibri"/>
                <w:b/>
                <w:bCs/>
                <w:color w:val="000000"/>
              </w:rPr>
            </w:pPr>
            <w:r>
              <w:rPr>
                <w:rFonts w:ascii="Calibri" w:hAnsi="Calibri" w:cs="Calibri"/>
                <w:b/>
                <w:bCs/>
                <w:color w:val="000000"/>
              </w:rPr>
              <w:t>Suburban Detached SFR</w:t>
            </w:r>
          </w:p>
        </w:tc>
        <w:tc>
          <w:tcPr>
            <w:tcW w:w="3024" w:type="dxa"/>
            <w:gridSpan w:val="2"/>
            <w:tcBorders>
              <w:top w:val="nil"/>
              <w:left w:val="nil"/>
              <w:bottom w:val="single" w:sz="4" w:space="0" w:color="auto"/>
              <w:right w:val="single" w:sz="4" w:space="0" w:color="auto"/>
            </w:tcBorders>
            <w:noWrap/>
            <w:vAlign w:val="bottom"/>
            <w:hideMark/>
          </w:tcPr>
          <w:p w14:paraId="7EC8FCC1" w14:textId="77777777" w:rsidR="007A411C" w:rsidRDefault="007A411C">
            <w:pPr>
              <w:rPr>
                <w:rFonts w:ascii="Calibri" w:hAnsi="Calibri" w:cs="Calibri"/>
                <w:color w:val="000000"/>
              </w:rPr>
            </w:pPr>
            <w:r>
              <w:rPr>
                <w:rFonts w:ascii="Calibri" w:hAnsi="Calibri" w:cs="Calibri"/>
                <w:color w:val="000000"/>
              </w:rPr>
              <w:t>Min. Lot Width</w:t>
            </w:r>
          </w:p>
        </w:tc>
        <w:tc>
          <w:tcPr>
            <w:tcW w:w="921" w:type="dxa"/>
            <w:gridSpan w:val="2"/>
            <w:tcBorders>
              <w:top w:val="nil"/>
              <w:left w:val="nil"/>
              <w:bottom w:val="single" w:sz="4" w:space="0" w:color="auto"/>
              <w:right w:val="single" w:sz="4" w:space="0" w:color="auto"/>
            </w:tcBorders>
            <w:noWrap/>
            <w:vAlign w:val="bottom"/>
            <w:hideMark/>
          </w:tcPr>
          <w:p w14:paraId="7F956235" w14:textId="77777777" w:rsidR="007A411C" w:rsidRDefault="007A411C">
            <w:pPr>
              <w:jc w:val="right"/>
              <w:rPr>
                <w:rFonts w:ascii="Calibri" w:hAnsi="Calibri" w:cs="Calibri"/>
                <w:color w:val="000000"/>
              </w:rPr>
            </w:pPr>
            <w:r>
              <w:rPr>
                <w:rFonts w:ascii="Calibri" w:hAnsi="Calibri" w:cs="Calibri"/>
                <w:color w:val="000000"/>
              </w:rPr>
              <w:t>60</w:t>
            </w:r>
          </w:p>
        </w:tc>
      </w:tr>
      <w:tr w:rsidR="007A411C" w14:paraId="2C9B0ACC"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4ECBCE"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43ED513D" w14:textId="77777777" w:rsidR="007A411C" w:rsidRDefault="007A411C">
            <w:pPr>
              <w:rPr>
                <w:rFonts w:ascii="Calibri" w:hAnsi="Calibri" w:cs="Calibri"/>
                <w:color w:val="000000"/>
              </w:rPr>
            </w:pPr>
            <w:r>
              <w:rPr>
                <w:rFonts w:ascii="Calibri" w:hAnsi="Calibri" w:cs="Calibri"/>
                <w:color w:val="000000"/>
              </w:rPr>
              <w:t>Min. Lot Depth</w:t>
            </w:r>
          </w:p>
        </w:tc>
        <w:tc>
          <w:tcPr>
            <w:tcW w:w="921" w:type="dxa"/>
            <w:gridSpan w:val="2"/>
            <w:tcBorders>
              <w:top w:val="nil"/>
              <w:left w:val="nil"/>
              <w:bottom w:val="single" w:sz="4" w:space="0" w:color="auto"/>
              <w:right w:val="single" w:sz="4" w:space="0" w:color="auto"/>
            </w:tcBorders>
            <w:noWrap/>
            <w:vAlign w:val="bottom"/>
            <w:hideMark/>
          </w:tcPr>
          <w:p w14:paraId="02525BDE" w14:textId="77777777" w:rsidR="007A411C" w:rsidRDefault="007A411C">
            <w:pPr>
              <w:jc w:val="right"/>
              <w:rPr>
                <w:rFonts w:ascii="Calibri" w:hAnsi="Calibri" w:cs="Calibri"/>
                <w:color w:val="000000"/>
              </w:rPr>
            </w:pPr>
            <w:r>
              <w:rPr>
                <w:rFonts w:ascii="Calibri" w:hAnsi="Calibri" w:cs="Calibri"/>
                <w:color w:val="000000"/>
              </w:rPr>
              <w:t>100</w:t>
            </w:r>
          </w:p>
        </w:tc>
      </w:tr>
      <w:tr w:rsidR="007A411C" w14:paraId="61FD3556"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FA01F6"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C2A20A5" w14:textId="77777777" w:rsidR="007A411C" w:rsidRDefault="007A411C">
            <w:pPr>
              <w:rPr>
                <w:rFonts w:ascii="Calibri" w:hAnsi="Calibri" w:cs="Calibri"/>
                <w:color w:val="000000"/>
              </w:rPr>
            </w:pPr>
            <w:r>
              <w:rPr>
                <w:rFonts w:ascii="Calibri" w:hAnsi="Calibri" w:cs="Calibri"/>
                <w:color w:val="000000"/>
              </w:rPr>
              <w:t>Min. Front Yard Setback</w:t>
            </w:r>
          </w:p>
        </w:tc>
        <w:tc>
          <w:tcPr>
            <w:tcW w:w="921" w:type="dxa"/>
            <w:gridSpan w:val="2"/>
            <w:tcBorders>
              <w:top w:val="nil"/>
              <w:left w:val="nil"/>
              <w:bottom w:val="single" w:sz="4" w:space="0" w:color="auto"/>
              <w:right w:val="single" w:sz="4" w:space="0" w:color="auto"/>
            </w:tcBorders>
            <w:noWrap/>
            <w:vAlign w:val="bottom"/>
            <w:hideMark/>
          </w:tcPr>
          <w:p w14:paraId="57333175" w14:textId="77777777" w:rsidR="007A411C" w:rsidRDefault="007A411C">
            <w:pPr>
              <w:jc w:val="right"/>
              <w:rPr>
                <w:rFonts w:ascii="Calibri" w:hAnsi="Calibri" w:cs="Calibri"/>
                <w:color w:val="000000"/>
              </w:rPr>
            </w:pPr>
            <w:r>
              <w:rPr>
                <w:rFonts w:ascii="Calibri" w:hAnsi="Calibri" w:cs="Calibri"/>
                <w:color w:val="000000"/>
              </w:rPr>
              <w:t>15</w:t>
            </w:r>
          </w:p>
        </w:tc>
      </w:tr>
      <w:tr w:rsidR="007A411C" w14:paraId="6757AB0F"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49F40A4B"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323BC839" w14:textId="77777777" w:rsidR="007A411C" w:rsidRDefault="007A411C">
            <w:pPr>
              <w:rPr>
                <w:rFonts w:ascii="Calibri" w:hAnsi="Calibri" w:cs="Calibri"/>
                <w:color w:val="000000"/>
              </w:rPr>
            </w:pPr>
            <w:r>
              <w:rPr>
                <w:rFonts w:ascii="Calibri" w:hAnsi="Calibri" w:cs="Calibri"/>
                <w:color w:val="000000"/>
              </w:rPr>
              <w:t>Min. Side Yard Setback</w:t>
            </w:r>
          </w:p>
        </w:tc>
        <w:tc>
          <w:tcPr>
            <w:tcW w:w="921" w:type="dxa"/>
            <w:gridSpan w:val="2"/>
            <w:tcBorders>
              <w:top w:val="nil"/>
              <w:left w:val="nil"/>
              <w:bottom w:val="single" w:sz="4" w:space="0" w:color="auto"/>
              <w:right w:val="single" w:sz="4" w:space="0" w:color="auto"/>
            </w:tcBorders>
            <w:noWrap/>
            <w:vAlign w:val="bottom"/>
            <w:hideMark/>
          </w:tcPr>
          <w:p w14:paraId="3A7CF88A" w14:textId="77777777" w:rsidR="007A411C" w:rsidRDefault="007A411C">
            <w:pPr>
              <w:jc w:val="right"/>
              <w:rPr>
                <w:rFonts w:ascii="Calibri" w:hAnsi="Calibri" w:cs="Calibri"/>
                <w:color w:val="000000"/>
              </w:rPr>
            </w:pPr>
            <w:r>
              <w:rPr>
                <w:rFonts w:ascii="Calibri" w:hAnsi="Calibri" w:cs="Calibri"/>
                <w:color w:val="000000"/>
              </w:rPr>
              <w:t>5</w:t>
            </w:r>
          </w:p>
        </w:tc>
      </w:tr>
      <w:tr w:rsidR="007A411C" w14:paraId="68D79A98"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4A51FE"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23383433" w14:textId="77777777" w:rsidR="007A411C" w:rsidRDefault="007A411C">
            <w:pPr>
              <w:rPr>
                <w:rFonts w:ascii="Calibri" w:hAnsi="Calibri" w:cs="Calibri"/>
                <w:color w:val="000000"/>
              </w:rPr>
            </w:pPr>
            <w:r>
              <w:rPr>
                <w:rFonts w:ascii="Calibri" w:hAnsi="Calibri" w:cs="Calibri"/>
                <w:color w:val="000000"/>
              </w:rPr>
              <w:t>Min. Rear Yard Setback</w:t>
            </w:r>
          </w:p>
        </w:tc>
        <w:tc>
          <w:tcPr>
            <w:tcW w:w="921" w:type="dxa"/>
            <w:gridSpan w:val="2"/>
            <w:tcBorders>
              <w:top w:val="nil"/>
              <w:left w:val="nil"/>
              <w:bottom w:val="single" w:sz="4" w:space="0" w:color="auto"/>
              <w:right w:val="single" w:sz="4" w:space="0" w:color="auto"/>
            </w:tcBorders>
            <w:noWrap/>
            <w:vAlign w:val="bottom"/>
            <w:hideMark/>
          </w:tcPr>
          <w:p w14:paraId="3E374179" w14:textId="77777777" w:rsidR="007A411C" w:rsidRDefault="007A411C">
            <w:pPr>
              <w:jc w:val="right"/>
              <w:rPr>
                <w:rFonts w:ascii="Calibri" w:hAnsi="Calibri" w:cs="Calibri"/>
                <w:color w:val="000000"/>
              </w:rPr>
            </w:pPr>
            <w:r>
              <w:rPr>
                <w:rFonts w:ascii="Calibri" w:hAnsi="Calibri" w:cs="Calibri"/>
                <w:color w:val="000000"/>
              </w:rPr>
              <w:t>15</w:t>
            </w:r>
            <w:r>
              <w:rPr>
                <w:rFonts w:ascii="Calibri" w:hAnsi="Calibri" w:cs="Calibri"/>
                <w:color w:val="000000"/>
                <w:vertAlign w:val="superscript"/>
              </w:rPr>
              <w:t>1</w:t>
            </w:r>
          </w:p>
        </w:tc>
      </w:tr>
      <w:tr w:rsidR="007A411C" w14:paraId="3566521A"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5298AE"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25B80E6C" w14:textId="77777777" w:rsidR="007A411C" w:rsidRDefault="007A411C">
            <w:pPr>
              <w:rPr>
                <w:rFonts w:ascii="Calibri" w:hAnsi="Calibri" w:cs="Calibri"/>
                <w:color w:val="000000"/>
              </w:rPr>
            </w:pPr>
            <w:r>
              <w:rPr>
                <w:rFonts w:ascii="Calibri" w:hAnsi="Calibri" w:cs="Calibri"/>
                <w:color w:val="000000"/>
              </w:rPr>
              <w:t>Maximum Bldg. Height</w:t>
            </w:r>
          </w:p>
        </w:tc>
        <w:tc>
          <w:tcPr>
            <w:tcW w:w="921" w:type="dxa"/>
            <w:gridSpan w:val="2"/>
            <w:tcBorders>
              <w:top w:val="nil"/>
              <w:left w:val="nil"/>
              <w:bottom w:val="single" w:sz="4" w:space="0" w:color="auto"/>
              <w:right w:val="single" w:sz="4" w:space="0" w:color="auto"/>
            </w:tcBorders>
            <w:noWrap/>
            <w:vAlign w:val="bottom"/>
            <w:hideMark/>
          </w:tcPr>
          <w:p w14:paraId="210E1C74" w14:textId="77777777" w:rsidR="007A411C" w:rsidRDefault="007A411C">
            <w:pPr>
              <w:jc w:val="right"/>
              <w:rPr>
                <w:rFonts w:ascii="Calibri" w:hAnsi="Calibri" w:cs="Calibri"/>
                <w:color w:val="000000"/>
              </w:rPr>
            </w:pPr>
            <w:r>
              <w:rPr>
                <w:rFonts w:ascii="Calibri" w:hAnsi="Calibri" w:cs="Calibri"/>
                <w:color w:val="000000"/>
              </w:rPr>
              <w:t>35</w:t>
            </w:r>
          </w:p>
        </w:tc>
      </w:tr>
      <w:tr w:rsidR="007A411C" w14:paraId="622F87DE" w14:textId="77777777" w:rsidTr="007A411C">
        <w:trPr>
          <w:trHeight w:val="300"/>
        </w:trPr>
        <w:tc>
          <w:tcPr>
            <w:tcW w:w="3075" w:type="dxa"/>
            <w:vMerge w:val="restart"/>
            <w:tcBorders>
              <w:top w:val="nil"/>
              <w:left w:val="single" w:sz="4" w:space="0" w:color="auto"/>
              <w:bottom w:val="single" w:sz="4" w:space="0" w:color="000000"/>
              <w:right w:val="single" w:sz="4" w:space="0" w:color="auto"/>
            </w:tcBorders>
            <w:noWrap/>
            <w:hideMark/>
          </w:tcPr>
          <w:p w14:paraId="31687F9F" w14:textId="77777777" w:rsidR="007A411C" w:rsidRDefault="007A411C">
            <w:pPr>
              <w:jc w:val="right"/>
              <w:rPr>
                <w:rFonts w:ascii="Calibri" w:hAnsi="Calibri" w:cs="Calibri"/>
                <w:b/>
                <w:bCs/>
                <w:color w:val="000000"/>
              </w:rPr>
            </w:pPr>
            <w:r>
              <w:rPr>
                <w:rFonts w:ascii="Calibri" w:hAnsi="Calibri" w:cs="Calibri"/>
                <w:b/>
                <w:bCs/>
                <w:color w:val="000000"/>
              </w:rPr>
              <w:t>Estate Detached SFR</w:t>
            </w:r>
          </w:p>
        </w:tc>
        <w:tc>
          <w:tcPr>
            <w:tcW w:w="3024" w:type="dxa"/>
            <w:gridSpan w:val="2"/>
            <w:tcBorders>
              <w:top w:val="nil"/>
              <w:left w:val="nil"/>
              <w:bottom w:val="single" w:sz="4" w:space="0" w:color="auto"/>
              <w:right w:val="single" w:sz="4" w:space="0" w:color="auto"/>
            </w:tcBorders>
            <w:noWrap/>
            <w:vAlign w:val="bottom"/>
            <w:hideMark/>
          </w:tcPr>
          <w:p w14:paraId="10F4B7E1" w14:textId="77777777" w:rsidR="007A411C" w:rsidRDefault="007A411C">
            <w:pPr>
              <w:rPr>
                <w:rFonts w:ascii="Calibri" w:hAnsi="Calibri" w:cs="Calibri"/>
                <w:color w:val="000000"/>
              </w:rPr>
            </w:pPr>
            <w:r>
              <w:rPr>
                <w:rFonts w:ascii="Calibri" w:hAnsi="Calibri" w:cs="Calibri"/>
                <w:color w:val="000000"/>
              </w:rPr>
              <w:t>Min. Lot Width</w:t>
            </w:r>
          </w:p>
        </w:tc>
        <w:tc>
          <w:tcPr>
            <w:tcW w:w="921" w:type="dxa"/>
            <w:gridSpan w:val="2"/>
            <w:tcBorders>
              <w:top w:val="nil"/>
              <w:left w:val="nil"/>
              <w:bottom w:val="single" w:sz="4" w:space="0" w:color="auto"/>
              <w:right w:val="single" w:sz="4" w:space="0" w:color="auto"/>
            </w:tcBorders>
            <w:noWrap/>
            <w:vAlign w:val="bottom"/>
            <w:hideMark/>
          </w:tcPr>
          <w:p w14:paraId="173EE04C" w14:textId="77777777" w:rsidR="007A411C" w:rsidRDefault="007A411C">
            <w:pPr>
              <w:jc w:val="right"/>
              <w:rPr>
                <w:rFonts w:ascii="Calibri" w:hAnsi="Calibri" w:cs="Calibri"/>
                <w:color w:val="000000"/>
              </w:rPr>
            </w:pPr>
            <w:r>
              <w:rPr>
                <w:rFonts w:ascii="Calibri" w:hAnsi="Calibri" w:cs="Calibri"/>
                <w:color w:val="000000"/>
              </w:rPr>
              <w:t>75</w:t>
            </w:r>
          </w:p>
        </w:tc>
      </w:tr>
      <w:tr w:rsidR="007A411C" w14:paraId="2C7AD451"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7C3BB2"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3D0AF2A8" w14:textId="77777777" w:rsidR="007A411C" w:rsidRDefault="007A411C">
            <w:pPr>
              <w:rPr>
                <w:rFonts w:ascii="Calibri" w:hAnsi="Calibri" w:cs="Calibri"/>
                <w:color w:val="000000"/>
              </w:rPr>
            </w:pPr>
            <w:r>
              <w:rPr>
                <w:rFonts w:ascii="Calibri" w:hAnsi="Calibri" w:cs="Calibri"/>
                <w:color w:val="000000"/>
              </w:rPr>
              <w:t>Min. Lot Depth</w:t>
            </w:r>
          </w:p>
        </w:tc>
        <w:tc>
          <w:tcPr>
            <w:tcW w:w="921" w:type="dxa"/>
            <w:gridSpan w:val="2"/>
            <w:tcBorders>
              <w:top w:val="nil"/>
              <w:left w:val="nil"/>
              <w:bottom w:val="single" w:sz="4" w:space="0" w:color="auto"/>
              <w:right w:val="single" w:sz="4" w:space="0" w:color="auto"/>
            </w:tcBorders>
            <w:noWrap/>
            <w:vAlign w:val="bottom"/>
            <w:hideMark/>
          </w:tcPr>
          <w:p w14:paraId="680BEC73" w14:textId="77777777" w:rsidR="007A411C" w:rsidRDefault="007A411C">
            <w:pPr>
              <w:jc w:val="right"/>
              <w:rPr>
                <w:rFonts w:ascii="Calibri" w:hAnsi="Calibri" w:cs="Calibri"/>
                <w:color w:val="000000"/>
              </w:rPr>
            </w:pPr>
            <w:r>
              <w:rPr>
                <w:rFonts w:ascii="Calibri" w:hAnsi="Calibri" w:cs="Calibri"/>
                <w:color w:val="000000"/>
              </w:rPr>
              <w:t>110</w:t>
            </w:r>
          </w:p>
        </w:tc>
      </w:tr>
      <w:tr w:rsidR="007A411C" w14:paraId="1C512BEC"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2FE769"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6BCDABFD" w14:textId="77777777" w:rsidR="007A411C" w:rsidRDefault="007A411C">
            <w:pPr>
              <w:rPr>
                <w:rFonts w:ascii="Calibri" w:hAnsi="Calibri" w:cs="Calibri"/>
                <w:color w:val="000000"/>
              </w:rPr>
            </w:pPr>
            <w:r>
              <w:rPr>
                <w:rFonts w:ascii="Calibri" w:hAnsi="Calibri" w:cs="Calibri"/>
                <w:color w:val="000000"/>
              </w:rPr>
              <w:t>Min. Front Yard Setback</w:t>
            </w:r>
          </w:p>
        </w:tc>
        <w:tc>
          <w:tcPr>
            <w:tcW w:w="921" w:type="dxa"/>
            <w:gridSpan w:val="2"/>
            <w:tcBorders>
              <w:top w:val="nil"/>
              <w:left w:val="nil"/>
              <w:bottom w:val="single" w:sz="4" w:space="0" w:color="auto"/>
              <w:right w:val="single" w:sz="4" w:space="0" w:color="auto"/>
            </w:tcBorders>
            <w:noWrap/>
            <w:vAlign w:val="bottom"/>
            <w:hideMark/>
          </w:tcPr>
          <w:p w14:paraId="4C4C0B0F" w14:textId="77777777" w:rsidR="007A411C" w:rsidRDefault="007A411C">
            <w:pPr>
              <w:jc w:val="right"/>
              <w:rPr>
                <w:rFonts w:ascii="Calibri" w:hAnsi="Calibri" w:cs="Calibri"/>
                <w:color w:val="000000"/>
              </w:rPr>
            </w:pPr>
            <w:r>
              <w:rPr>
                <w:rFonts w:ascii="Calibri" w:hAnsi="Calibri" w:cs="Calibri"/>
                <w:color w:val="000000"/>
              </w:rPr>
              <w:t>20</w:t>
            </w:r>
          </w:p>
        </w:tc>
      </w:tr>
      <w:tr w:rsidR="007A411C" w14:paraId="462E33A9"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0EBEAB"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DB5A054" w14:textId="77777777" w:rsidR="007A411C" w:rsidRDefault="007A411C">
            <w:pPr>
              <w:rPr>
                <w:rFonts w:ascii="Calibri" w:hAnsi="Calibri" w:cs="Calibri"/>
                <w:color w:val="000000"/>
              </w:rPr>
            </w:pPr>
            <w:r>
              <w:rPr>
                <w:rFonts w:ascii="Calibri" w:hAnsi="Calibri" w:cs="Calibri"/>
                <w:color w:val="000000"/>
              </w:rPr>
              <w:t>Min. Side Yard Setback</w:t>
            </w:r>
          </w:p>
        </w:tc>
        <w:tc>
          <w:tcPr>
            <w:tcW w:w="921" w:type="dxa"/>
            <w:gridSpan w:val="2"/>
            <w:tcBorders>
              <w:top w:val="nil"/>
              <w:left w:val="nil"/>
              <w:bottom w:val="single" w:sz="4" w:space="0" w:color="auto"/>
              <w:right w:val="single" w:sz="4" w:space="0" w:color="auto"/>
            </w:tcBorders>
            <w:noWrap/>
            <w:vAlign w:val="bottom"/>
            <w:hideMark/>
          </w:tcPr>
          <w:p w14:paraId="1BD49A3F" w14:textId="77777777" w:rsidR="007A411C" w:rsidRDefault="007A411C">
            <w:pPr>
              <w:jc w:val="right"/>
              <w:rPr>
                <w:rFonts w:ascii="Calibri" w:hAnsi="Calibri" w:cs="Calibri"/>
                <w:color w:val="000000"/>
              </w:rPr>
            </w:pPr>
            <w:r>
              <w:rPr>
                <w:rFonts w:ascii="Calibri" w:hAnsi="Calibri" w:cs="Calibri"/>
                <w:color w:val="000000"/>
              </w:rPr>
              <w:t>7.5</w:t>
            </w:r>
          </w:p>
        </w:tc>
      </w:tr>
      <w:tr w:rsidR="007A411C" w14:paraId="48BCECE7"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580ACE3"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64758024" w14:textId="77777777" w:rsidR="007A411C" w:rsidRDefault="007A411C">
            <w:pPr>
              <w:rPr>
                <w:rFonts w:ascii="Calibri" w:hAnsi="Calibri" w:cs="Calibri"/>
                <w:color w:val="000000"/>
              </w:rPr>
            </w:pPr>
            <w:r>
              <w:rPr>
                <w:rFonts w:ascii="Calibri" w:hAnsi="Calibri" w:cs="Calibri"/>
                <w:color w:val="000000"/>
              </w:rPr>
              <w:t>Min. Rear Yard Setback</w:t>
            </w:r>
          </w:p>
        </w:tc>
        <w:tc>
          <w:tcPr>
            <w:tcW w:w="921" w:type="dxa"/>
            <w:gridSpan w:val="2"/>
            <w:tcBorders>
              <w:top w:val="nil"/>
              <w:left w:val="nil"/>
              <w:bottom w:val="single" w:sz="4" w:space="0" w:color="auto"/>
              <w:right w:val="single" w:sz="4" w:space="0" w:color="auto"/>
            </w:tcBorders>
            <w:noWrap/>
            <w:vAlign w:val="bottom"/>
            <w:hideMark/>
          </w:tcPr>
          <w:p w14:paraId="0AC1D2B4" w14:textId="77777777" w:rsidR="007A411C" w:rsidRDefault="007A411C">
            <w:pPr>
              <w:jc w:val="right"/>
              <w:rPr>
                <w:rFonts w:ascii="Calibri" w:hAnsi="Calibri" w:cs="Calibri"/>
                <w:color w:val="000000"/>
              </w:rPr>
            </w:pPr>
            <w:r>
              <w:rPr>
                <w:rFonts w:ascii="Calibri" w:hAnsi="Calibri" w:cs="Calibri"/>
                <w:color w:val="000000"/>
              </w:rPr>
              <w:t>20</w:t>
            </w:r>
          </w:p>
        </w:tc>
      </w:tr>
      <w:tr w:rsidR="007A411C" w14:paraId="331D47DD"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2D92586"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2F8143B9" w14:textId="77777777" w:rsidR="007A411C" w:rsidRDefault="007A411C">
            <w:pPr>
              <w:rPr>
                <w:rFonts w:ascii="Calibri" w:hAnsi="Calibri" w:cs="Calibri"/>
                <w:color w:val="000000"/>
              </w:rPr>
            </w:pPr>
            <w:r>
              <w:rPr>
                <w:rFonts w:ascii="Calibri" w:hAnsi="Calibri" w:cs="Calibri"/>
                <w:color w:val="000000"/>
              </w:rPr>
              <w:t>Maximum Bldg. Height</w:t>
            </w:r>
          </w:p>
        </w:tc>
        <w:tc>
          <w:tcPr>
            <w:tcW w:w="921" w:type="dxa"/>
            <w:gridSpan w:val="2"/>
            <w:tcBorders>
              <w:top w:val="nil"/>
              <w:left w:val="nil"/>
              <w:bottom w:val="single" w:sz="4" w:space="0" w:color="auto"/>
              <w:right w:val="single" w:sz="4" w:space="0" w:color="auto"/>
            </w:tcBorders>
            <w:noWrap/>
            <w:vAlign w:val="bottom"/>
            <w:hideMark/>
          </w:tcPr>
          <w:p w14:paraId="0D0FD2F9" w14:textId="77777777" w:rsidR="007A411C" w:rsidRDefault="007A411C">
            <w:pPr>
              <w:jc w:val="right"/>
              <w:rPr>
                <w:rFonts w:ascii="Calibri" w:hAnsi="Calibri" w:cs="Calibri"/>
                <w:color w:val="000000"/>
              </w:rPr>
            </w:pPr>
            <w:r>
              <w:rPr>
                <w:rFonts w:ascii="Calibri" w:hAnsi="Calibri" w:cs="Calibri"/>
                <w:color w:val="000000"/>
              </w:rPr>
              <w:t>35</w:t>
            </w:r>
          </w:p>
        </w:tc>
      </w:tr>
      <w:tr w:rsidR="007A411C" w14:paraId="2A17F2EF" w14:textId="77777777" w:rsidTr="007A411C">
        <w:trPr>
          <w:trHeight w:val="300"/>
        </w:trPr>
        <w:tc>
          <w:tcPr>
            <w:tcW w:w="3075" w:type="dxa"/>
            <w:vMerge w:val="restart"/>
            <w:tcBorders>
              <w:top w:val="nil"/>
              <w:left w:val="single" w:sz="4" w:space="0" w:color="auto"/>
              <w:bottom w:val="single" w:sz="4" w:space="0" w:color="000000"/>
              <w:right w:val="single" w:sz="4" w:space="0" w:color="auto"/>
            </w:tcBorders>
            <w:noWrap/>
            <w:hideMark/>
          </w:tcPr>
          <w:p w14:paraId="055AC5FA" w14:textId="77777777" w:rsidR="007A411C" w:rsidRDefault="007A411C">
            <w:pPr>
              <w:jc w:val="right"/>
              <w:rPr>
                <w:rFonts w:ascii="Calibri" w:hAnsi="Calibri" w:cs="Calibri"/>
                <w:b/>
                <w:bCs/>
                <w:color w:val="000000"/>
              </w:rPr>
            </w:pPr>
            <w:r>
              <w:rPr>
                <w:rFonts w:ascii="Calibri" w:hAnsi="Calibri" w:cs="Calibri"/>
                <w:b/>
                <w:bCs/>
                <w:color w:val="000000"/>
              </w:rPr>
              <w:t>Attached SFR</w:t>
            </w:r>
          </w:p>
        </w:tc>
        <w:tc>
          <w:tcPr>
            <w:tcW w:w="3024" w:type="dxa"/>
            <w:gridSpan w:val="2"/>
            <w:tcBorders>
              <w:top w:val="nil"/>
              <w:left w:val="nil"/>
              <w:bottom w:val="single" w:sz="4" w:space="0" w:color="auto"/>
              <w:right w:val="single" w:sz="4" w:space="0" w:color="auto"/>
            </w:tcBorders>
            <w:noWrap/>
            <w:vAlign w:val="bottom"/>
            <w:hideMark/>
          </w:tcPr>
          <w:p w14:paraId="0669AF63" w14:textId="77777777" w:rsidR="007A411C" w:rsidRDefault="007A411C">
            <w:pPr>
              <w:rPr>
                <w:rFonts w:ascii="Calibri" w:hAnsi="Calibri" w:cs="Calibri"/>
                <w:color w:val="000000"/>
              </w:rPr>
            </w:pPr>
            <w:r>
              <w:rPr>
                <w:rFonts w:ascii="Calibri" w:hAnsi="Calibri" w:cs="Calibri"/>
                <w:color w:val="000000"/>
              </w:rPr>
              <w:t>Min. Lot Width</w:t>
            </w:r>
          </w:p>
        </w:tc>
        <w:tc>
          <w:tcPr>
            <w:tcW w:w="921" w:type="dxa"/>
            <w:gridSpan w:val="2"/>
            <w:tcBorders>
              <w:top w:val="nil"/>
              <w:left w:val="nil"/>
              <w:bottom w:val="single" w:sz="4" w:space="0" w:color="auto"/>
              <w:right w:val="single" w:sz="4" w:space="0" w:color="auto"/>
            </w:tcBorders>
            <w:noWrap/>
            <w:vAlign w:val="bottom"/>
            <w:hideMark/>
          </w:tcPr>
          <w:p w14:paraId="1F7A18D9" w14:textId="77777777" w:rsidR="007A411C" w:rsidRDefault="007A411C">
            <w:pPr>
              <w:rPr>
                <w:rFonts w:ascii="Calibri" w:hAnsi="Calibri" w:cs="Calibri"/>
                <w:color w:val="000000"/>
              </w:rPr>
            </w:pPr>
            <w:r>
              <w:rPr>
                <w:rFonts w:ascii="Calibri" w:hAnsi="Calibri" w:cs="Calibri"/>
                <w:color w:val="000000"/>
              </w:rPr>
              <w:t>N/A</w:t>
            </w:r>
          </w:p>
        </w:tc>
      </w:tr>
      <w:tr w:rsidR="007A411C" w14:paraId="20ECBA30"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CF73D8"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789C0812" w14:textId="77777777" w:rsidR="007A411C" w:rsidRDefault="007A411C">
            <w:pPr>
              <w:rPr>
                <w:rFonts w:ascii="Calibri" w:hAnsi="Calibri" w:cs="Calibri"/>
                <w:color w:val="000000"/>
              </w:rPr>
            </w:pPr>
            <w:r>
              <w:rPr>
                <w:rFonts w:ascii="Calibri" w:hAnsi="Calibri" w:cs="Calibri"/>
                <w:color w:val="000000"/>
              </w:rPr>
              <w:t>Min. Lot Depth</w:t>
            </w:r>
          </w:p>
        </w:tc>
        <w:tc>
          <w:tcPr>
            <w:tcW w:w="921" w:type="dxa"/>
            <w:gridSpan w:val="2"/>
            <w:tcBorders>
              <w:top w:val="nil"/>
              <w:left w:val="nil"/>
              <w:bottom w:val="single" w:sz="4" w:space="0" w:color="auto"/>
              <w:right w:val="single" w:sz="4" w:space="0" w:color="auto"/>
            </w:tcBorders>
            <w:noWrap/>
            <w:vAlign w:val="bottom"/>
            <w:hideMark/>
          </w:tcPr>
          <w:p w14:paraId="14EE9C3E" w14:textId="77777777" w:rsidR="007A411C" w:rsidRDefault="007A411C">
            <w:pPr>
              <w:rPr>
                <w:rFonts w:ascii="Calibri" w:hAnsi="Calibri" w:cs="Calibri"/>
                <w:color w:val="000000"/>
              </w:rPr>
            </w:pPr>
            <w:r>
              <w:rPr>
                <w:rFonts w:ascii="Calibri" w:hAnsi="Calibri" w:cs="Calibri"/>
                <w:color w:val="000000"/>
              </w:rPr>
              <w:t>N/A</w:t>
            </w:r>
          </w:p>
        </w:tc>
      </w:tr>
      <w:tr w:rsidR="007A411C" w14:paraId="11A6D067"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34AF77BD"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4A915F42" w14:textId="77777777" w:rsidR="007A411C" w:rsidRDefault="007A411C">
            <w:pPr>
              <w:rPr>
                <w:rFonts w:ascii="Calibri" w:hAnsi="Calibri" w:cs="Calibri"/>
                <w:color w:val="000000"/>
              </w:rPr>
            </w:pPr>
            <w:r>
              <w:rPr>
                <w:rFonts w:ascii="Calibri" w:hAnsi="Calibri" w:cs="Calibri"/>
                <w:color w:val="000000"/>
              </w:rPr>
              <w:t>Min. Front Yard Setback</w:t>
            </w:r>
          </w:p>
        </w:tc>
        <w:tc>
          <w:tcPr>
            <w:tcW w:w="921" w:type="dxa"/>
            <w:gridSpan w:val="2"/>
            <w:tcBorders>
              <w:top w:val="nil"/>
              <w:left w:val="nil"/>
              <w:bottom w:val="single" w:sz="4" w:space="0" w:color="auto"/>
              <w:right w:val="single" w:sz="4" w:space="0" w:color="auto"/>
            </w:tcBorders>
            <w:noWrap/>
            <w:vAlign w:val="bottom"/>
            <w:hideMark/>
          </w:tcPr>
          <w:p w14:paraId="46003966" w14:textId="77777777" w:rsidR="007A411C" w:rsidRDefault="007A411C">
            <w:pPr>
              <w:jc w:val="right"/>
              <w:rPr>
                <w:rFonts w:ascii="Calibri" w:hAnsi="Calibri" w:cs="Calibri"/>
                <w:color w:val="000000"/>
              </w:rPr>
            </w:pPr>
            <w:r>
              <w:rPr>
                <w:rFonts w:ascii="Calibri" w:hAnsi="Calibri" w:cs="Calibri"/>
                <w:color w:val="000000"/>
              </w:rPr>
              <w:t>20</w:t>
            </w:r>
          </w:p>
        </w:tc>
      </w:tr>
      <w:tr w:rsidR="007A411C" w14:paraId="7AB392C1"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95CACC"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891C39B" w14:textId="77777777" w:rsidR="007A411C" w:rsidRDefault="007A411C">
            <w:pPr>
              <w:rPr>
                <w:rFonts w:ascii="Calibri" w:hAnsi="Calibri" w:cs="Calibri"/>
                <w:color w:val="000000"/>
              </w:rPr>
            </w:pPr>
            <w:r>
              <w:rPr>
                <w:rFonts w:ascii="Calibri" w:hAnsi="Calibri" w:cs="Calibri"/>
                <w:color w:val="000000"/>
              </w:rPr>
              <w:t>Min. Side Yard Setback</w:t>
            </w:r>
          </w:p>
        </w:tc>
        <w:tc>
          <w:tcPr>
            <w:tcW w:w="921" w:type="dxa"/>
            <w:gridSpan w:val="2"/>
            <w:tcBorders>
              <w:top w:val="nil"/>
              <w:left w:val="nil"/>
              <w:bottom w:val="single" w:sz="4" w:space="0" w:color="auto"/>
              <w:right w:val="single" w:sz="4" w:space="0" w:color="auto"/>
            </w:tcBorders>
            <w:noWrap/>
            <w:vAlign w:val="bottom"/>
            <w:hideMark/>
          </w:tcPr>
          <w:p w14:paraId="6B0A06CB" w14:textId="77777777" w:rsidR="007A411C" w:rsidRDefault="007A411C">
            <w:pPr>
              <w:jc w:val="right"/>
              <w:rPr>
                <w:rFonts w:ascii="Calibri" w:hAnsi="Calibri" w:cs="Calibri"/>
                <w:color w:val="000000"/>
              </w:rPr>
            </w:pPr>
            <w:r>
              <w:rPr>
                <w:rFonts w:ascii="Calibri" w:hAnsi="Calibri" w:cs="Calibri"/>
                <w:color w:val="000000"/>
              </w:rPr>
              <w:t>0</w:t>
            </w:r>
          </w:p>
        </w:tc>
      </w:tr>
      <w:tr w:rsidR="007A411C" w14:paraId="0507B9C2"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11DD70"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0668FE1D" w14:textId="77777777" w:rsidR="007A411C" w:rsidRDefault="007A411C">
            <w:pPr>
              <w:rPr>
                <w:rFonts w:ascii="Calibri" w:hAnsi="Calibri" w:cs="Calibri"/>
                <w:color w:val="000000"/>
              </w:rPr>
            </w:pPr>
            <w:r>
              <w:rPr>
                <w:rFonts w:ascii="Calibri" w:hAnsi="Calibri" w:cs="Calibri"/>
                <w:color w:val="000000"/>
              </w:rPr>
              <w:t>Min. Rear Yard Setback</w:t>
            </w:r>
          </w:p>
        </w:tc>
        <w:tc>
          <w:tcPr>
            <w:tcW w:w="921" w:type="dxa"/>
            <w:gridSpan w:val="2"/>
            <w:tcBorders>
              <w:top w:val="nil"/>
              <w:left w:val="nil"/>
              <w:bottom w:val="single" w:sz="4" w:space="0" w:color="auto"/>
              <w:right w:val="single" w:sz="4" w:space="0" w:color="auto"/>
            </w:tcBorders>
            <w:noWrap/>
            <w:vAlign w:val="bottom"/>
            <w:hideMark/>
          </w:tcPr>
          <w:p w14:paraId="04E94BA5" w14:textId="77777777" w:rsidR="007A411C" w:rsidRDefault="007A411C">
            <w:pPr>
              <w:jc w:val="right"/>
              <w:rPr>
                <w:rFonts w:ascii="Calibri" w:hAnsi="Calibri" w:cs="Calibri"/>
                <w:color w:val="000000"/>
              </w:rPr>
            </w:pPr>
            <w:r>
              <w:rPr>
                <w:rFonts w:ascii="Calibri" w:hAnsi="Calibri" w:cs="Calibri"/>
                <w:color w:val="000000"/>
              </w:rPr>
              <w:t>20</w:t>
            </w:r>
          </w:p>
        </w:tc>
      </w:tr>
      <w:tr w:rsidR="007A411C" w14:paraId="38ACDEBC"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46DFF87"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AF08C6C" w14:textId="77777777" w:rsidR="007A411C" w:rsidRDefault="007A411C">
            <w:pPr>
              <w:rPr>
                <w:rFonts w:ascii="Calibri" w:hAnsi="Calibri" w:cs="Calibri"/>
                <w:color w:val="000000"/>
              </w:rPr>
            </w:pPr>
            <w:r>
              <w:rPr>
                <w:rFonts w:ascii="Calibri" w:hAnsi="Calibri" w:cs="Calibri"/>
                <w:color w:val="000000"/>
              </w:rPr>
              <w:t>Maximum Bldg. Height</w:t>
            </w:r>
          </w:p>
        </w:tc>
        <w:tc>
          <w:tcPr>
            <w:tcW w:w="921" w:type="dxa"/>
            <w:gridSpan w:val="2"/>
            <w:tcBorders>
              <w:top w:val="nil"/>
              <w:left w:val="nil"/>
              <w:bottom w:val="single" w:sz="4" w:space="0" w:color="auto"/>
              <w:right w:val="single" w:sz="4" w:space="0" w:color="auto"/>
            </w:tcBorders>
            <w:noWrap/>
            <w:vAlign w:val="bottom"/>
            <w:hideMark/>
          </w:tcPr>
          <w:p w14:paraId="5947F5C8" w14:textId="77777777" w:rsidR="007A411C" w:rsidRDefault="007A411C">
            <w:pPr>
              <w:jc w:val="right"/>
              <w:rPr>
                <w:rFonts w:ascii="Calibri" w:hAnsi="Calibri" w:cs="Calibri"/>
                <w:color w:val="000000"/>
              </w:rPr>
            </w:pPr>
            <w:r>
              <w:rPr>
                <w:rFonts w:ascii="Calibri" w:hAnsi="Calibri" w:cs="Calibri"/>
                <w:color w:val="000000"/>
              </w:rPr>
              <w:t>45</w:t>
            </w:r>
          </w:p>
        </w:tc>
      </w:tr>
      <w:tr w:rsidR="007A411C" w14:paraId="682343BB" w14:textId="77777777" w:rsidTr="007A411C">
        <w:trPr>
          <w:trHeight w:val="300"/>
        </w:trPr>
        <w:tc>
          <w:tcPr>
            <w:tcW w:w="3075" w:type="dxa"/>
            <w:vMerge w:val="restart"/>
            <w:tcBorders>
              <w:top w:val="nil"/>
              <w:left w:val="single" w:sz="4" w:space="0" w:color="auto"/>
              <w:bottom w:val="single" w:sz="4" w:space="0" w:color="000000"/>
              <w:right w:val="single" w:sz="4" w:space="0" w:color="auto"/>
            </w:tcBorders>
            <w:noWrap/>
            <w:hideMark/>
          </w:tcPr>
          <w:p w14:paraId="5AE9AD69" w14:textId="77777777" w:rsidR="007A411C" w:rsidRDefault="007A411C">
            <w:pPr>
              <w:jc w:val="right"/>
              <w:rPr>
                <w:rFonts w:ascii="Calibri" w:hAnsi="Calibri" w:cs="Calibri"/>
                <w:b/>
                <w:bCs/>
                <w:color w:val="000000"/>
              </w:rPr>
            </w:pPr>
            <w:r>
              <w:rPr>
                <w:rFonts w:ascii="Calibri" w:hAnsi="Calibri" w:cs="Calibri"/>
                <w:b/>
                <w:bCs/>
                <w:color w:val="000000"/>
              </w:rPr>
              <w:t>Tiny Homes</w:t>
            </w:r>
          </w:p>
        </w:tc>
        <w:tc>
          <w:tcPr>
            <w:tcW w:w="3024" w:type="dxa"/>
            <w:gridSpan w:val="2"/>
            <w:tcBorders>
              <w:top w:val="nil"/>
              <w:left w:val="nil"/>
              <w:bottom w:val="single" w:sz="4" w:space="0" w:color="auto"/>
              <w:right w:val="single" w:sz="4" w:space="0" w:color="auto"/>
            </w:tcBorders>
            <w:noWrap/>
            <w:vAlign w:val="bottom"/>
            <w:hideMark/>
          </w:tcPr>
          <w:p w14:paraId="51AE6A30" w14:textId="77777777" w:rsidR="007A411C" w:rsidRDefault="007A411C">
            <w:pPr>
              <w:rPr>
                <w:rFonts w:ascii="Calibri" w:hAnsi="Calibri" w:cs="Calibri"/>
                <w:color w:val="000000"/>
              </w:rPr>
            </w:pPr>
            <w:r>
              <w:rPr>
                <w:rFonts w:ascii="Calibri" w:hAnsi="Calibri" w:cs="Calibri"/>
                <w:color w:val="000000"/>
              </w:rPr>
              <w:t>Min. Lot Width</w:t>
            </w:r>
          </w:p>
        </w:tc>
        <w:tc>
          <w:tcPr>
            <w:tcW w:w="921" w:type="dxa"/>
            <w:gridSpan w:val="2"/>
            <w:tcBorders>
              <w:top w:val="nil"/>
              <w:left w:val="nil"/>
              <w:bottom w:val="single" w:sz="4" w:space="0" w:color="auto"/>
              <w:right w:val="single" w:sz="4" w:space="0" w:color="auto"/>
            </w:tcBorders>
            <w:noWrap/>
            <w:vAlign w:val="bottom"/>
            <w:hideMark/>
          </w:tcPr>
          <w:p w14:paraId="2B2C937F" w14:textId="77777777" w:rsidR="007A411C" w:rsidRDefault="007A411C">
            <w:pPr>
              <w:jc w:val="right"/>
              <w:rPr>
                <w:rFonts w:ascii="Calibri" w:hAnsi="Calibri" w:cs="Calibri"/>
                <w:color w:val="000000"/>
              </w:rPr>
            </w:pPr>
            <w:r>
              <w:rPr>
                <w:rFonts w:ascii="Calibri" w:hAnsi="Calibri" w:cs="Calibri"/>
                <w:color w:val="000000"/>
              </w:rPr>
              <w:t>20</w:t>
            </w:r>
          </w:p>
        </w:tc>
      </w:tr>
      <w:tr w:rsidR="007A411C" w14:paraId="13C494F9"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EA398C"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3AE76D1" w14:textId="77777777" w:rsidR="007A411C" w:rsidRDefault="007A411C">
            <w:pPr>
              <w:rPr>
                <w:rFonts w:ascii="Calibri" w:hAnsi="Calibri" w:cs="Calibri"/>
                <w:color w:val="000000"/>
              </w:rPr>
            </w:pPr>
            <w:r>
              <w:rPr>
                <w:rFonts w:ascii="Calibri" w:hAnsi="Calibri" w:cs="Calibri"/>
                <w:color w:val="000000"/>
              </w:rPr>
              <w:t>Min. Lot Depth</w:t>
            </w:r>
          </w:p>
        </w:tc>
        <w:tc>
          <w:tcPr>
            <w:tcW w:w="921" w:type="dxa"/>
            <w:gridSpan w:val="2"/>
            <w:tcBorders>
              <w:top w:val="nil"/>
              <w:left w:val="nil"/>
              <w:bottom w:val="single" w:sz="4" w:space="0" w:color="auto"/>
              <w:right w:val="single" w:sz="4" w:space="0" w:color="auto"/>
            </w:tcBorders>
            <w:noWrap/>
            <w:vAlign w:val="bottom"/>
            <w:hideMark/>
          </w:tcPr>
          <w:p w14:paraId="67110A4A" w14:textId="77777777" w:rsidR="007A411C" w:rsidRDefault="007A411C">
            <w:pPr>
              <w:jc w:val="right"/>
              <w:rPr>
                <w:rFonts w:ascii="Calibri" w:hAnsi="Calibri" w:cs="Calibri"/>
                <w:color w:val="000000"/>
              </w:rPr>
            </w:pPr>
            <w:r>
              <w:rPr>
                <w:rFonts w:ascii="Calibri" w:hAnsi="Calibri" w:cs="Calibri"/>
                <w:color w:val="000000"/>
              </w:rPr>
              <w:t>50</w:t>
            </w:r>
          </w:p>
        </w:tc>
      </w:tr>
      <w:tr w:rsidR="007A411C" w14:paraId="2D54A3C0"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793D0FF"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7CC5BDD8" w14:textId="77777777" w:rsidR="007A411C" w:rsidRDefault="007A411C">
            <w:pPr>
              <w:rPr>
                <w:rFonts w:ascii="Calibri" w:hAnsi="Calibri" w:cs="Calibri"/>
                <w:color w:val="000000"/>
              </w:rPr>
            </w:pPr>
            <w:r>
              <w:rPr>
                <w:rFonts w:ascii="Calibri" w:hAnsi="Calibri" w:cs="Calibri"/>
                <w:color w:val="000000"/>
              </w:rPr>
              <w:t>Min. Front Yard Setback</w:t>
            </w:r>
          </w:p>
        </w:tc>
        <w:tc>
          <w:tcPr>
            <w:tcW w:w="921" w:type="dxa"/>
            <w:gridSpan w:val="2"/>
            <w:tcBorders>
              <w:top w:val="nil"/>
              <w:left w:val="nil"/>
              <w:bottom w:val="single" w:sz="4" w:space="0" w:color="auto"/>
              <w:right w:val="single" w:sz="4" w:space="0" w:color="auto"/>
            </w:tcBorders>
            <w:noWrap/>
            <w:vAlign w:val="bottom"/>
            <w:hideMark/>
          </w:tcPr>
          <w:p w14:paraId="4911075F" w14:textId="77777777" w:rsidR="007A411C" w:rsidRDefault="007A411C">
            <w:pPr>
              <w:jc w:val="right"/>
              <w:rPr>
                <w:rFonts w:ascii="Calibri" w:hAnsi="Calibri" w:cs="Calibri"/>
                <w:color w:val="000000"/>
              </w:rPr>
            </w:pPr>
            <w:r>
              <w:rPr>
                <w:rFonts w:ascii="Calibri" w:hAnsi="Calibri" w:cs="Calibri"/>
                <w:color w:val="000000"/>
              </w:rPr>
              <w:t>0</w:t>
            </w:r>
          </w:p>
        </w:tc>
      </w:tr>
      <w:tr w:rsidR="007A411C" w14:paraId="4BB22AFB"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1AC73B"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5559EB0A" w14:textId="77777777" w:rsidR="007A411C" w:rsidRDefault="007A411C">
            <w:pPr>
              <w:rPr>
                <w:rFonts w:ascii="Calibri" w:hAnsi="Calibri" w:cs="Calibri"/>
                <w:color w:val="000000"/>
              </w:rPr>
            </w:pPr>
            <w:r>
              <w:rPr>
                <w:rFonts w:ascii="Calibri" w:hAnsi="Calibri" w:cs="Calibri"/>
                <w:color w:val="000000"/>
              </w:rPr>
              <w:t>Min. Side Yard Setback</w:t>
            </w:r>
          </w:p>
        </w:tc>
        <w:tc>
          <w:tcPr>
            <w:tcW w:w="921" w:type="dxa"/>
            <w:gridSpan w:val="2"/>
            <w:tcBorders>
              <w:top w:val="nil"/>
              <w:left w:val="nil"/>
              <w:bottom w:val="single" w:sz="4" w:space="0" w:color="auto"/>
              <w:right w:val="single" w:sz="4" w:space="0" w:color="auto"/>
            </w:tcBorders>
            <w:noWrap/>
            <w:vAlign w:val="bottom"/>
            <w:hideMark/>
          </w:tcPr>
          <w:p w14:paraId="759AB8D8" w14:textId="77777777" w:rsidR="007A411C" w:rsidRDefault="007A411C">
            <w:pPr>
              <w:jc w:val="right"/>
              <w:rPr>
                <w:rFonts w:ascii="Calibri" w:hAnsi="Calibri" w:cs="Calibri"/>
                <w:color w:val="000000"/>
              </w:rPr>
            </w:pPr>
            <w:r>
              <w:rPr>
                <w:rFonts w:ascii="Calibri" w:hAnsi="Calibri" w:cs="Calibri"/>
                <w:color w:val="000000"/>
              </w:rPr>
              <w:t>0</w:t>
            </w:r>
          </w:p>
        </w:tc>
      </w:tr>
      <w:tr w:rsidR="007A411C" w14:paraId="659B37C2"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27CA69"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4A8CCED9" w14:textId="77777777" w:rsidR="007A411C" w:rsidRDefault="007A411C">
            <w:pPr>
              <w:rPr>
                <w:rFonts w:ascii="Calibri" w:hAnsi="Calibri" w:cs="Calibri"/>
                <w:color w:val="000000"/>
              </w:rPr>
            </w:pPr>
            <w:r>
              <w:rPr>
                <w:rFonts w:ascii="Calibri" w:hAnsi="Calibri" w:cs="Calibri"/>
                <w:color w:val="000000"/>
              </w:rPr>
              <w:t>Min. Rear Yard Setback</w:t>
            </w:r>
          </w:p>
        </w:tc>
        <w:tc>
          <w:tcPr>
            <w:tcW w:w="921" w:type="dxa"/>
            <w:gridSpan w:val="2"/>
            <w:tcBorders>
              <w:top w:val="nil"/>
              <w:left w:val="nil"/>
              <w:bottom w:val="single" w:sz="4" w:space="0" w:color="auto"/>
              <w:right w:val="single" w:sz="4" w:space="0" w:color="auto"/>
            </w:tcBorders>
            <w:noWrap/>
            <w:vAlign w:val="bottom"/>
            <w:hideMark/>
          </w:tcPr>
          <w:p w14:paraId="16E83739" w14:textId="77777777" w:rsidR="007A411C" w:rsidRDefault="007A411C">
            <w:pPr>
              <w:jc w:val="right"/>
              <w:rPr>
                <w:rFonts w:ascii="Calibri" w:hAnsi="Calibri" w:cs="Calibri"/>
                <w:color w:val="000000"/>
              </w:rPr>
            </w:pPr>
            <w:r>
              <w:rPr>
                <w:rFonts w:ascii="Calibri" w:hAnsi="Calibri" w:cs="Calibri"/>
                <w:color w:val="000000"/>
              </w:rPr>
              <w:t>5</w:t>
            </w:r>
          </w:p>
        </w:tc>
      </w:tr>
      <w:tr w:rsidR="007A411C" w14:paraId="2F7FEB0F" w14:textId="77777777" w:rsidTr="007A411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EB6F435" w14:textId="77777777" w:rsidR="007A411C" w:rsidRDefault="007A411C">
            <w:pPr>
              <w:rPr>
                <w:rFonts w:ascii="Calibri" w:hAnsi="Calibri" w:cs="Calibri"/>
                <w:b/>
                <w:bCs/>
                <w:color w:val="000000"/>
                <w:sz w:val="22"/>
                <w:szCs w:val="22"/>
              </w:rPr>
            </w:pPr>
          </w:p>
        </w:tc>
        <w:tc>
          <w:tcPr>
            <w:tcW w:w="3024" w:type="dxa"/>
            <w:gridSpan w:val="2"/>
            <w:tcBorders>
              <w:top w:val="nil"/>
              <w:left w:val="nil"/>
              <w:bottom w:val="single" w:sz="4" w:space="0" w:color="auto"/>
              <w:right w:val="single" w:sz="4" w:space="0" w:color="auto"/>
            </w:tcBorders>
            <w:noWrap/>
            <w:vAlign w:val="bottom"/>
            <w:hideMark/>
          </w:tcPr>
          <w:p w14:paraId="1BC349DB" w14:textId="77777777" w:rsidR="007A411C" w:rsidRDefault="007A411C">
            <w:pPr>
              <w:rPr>
                <w:rFonts w:ascii="Calibri" w:hAnsi="Calibri" w:cs="Calibri"/>
                <w:color w:val="000000"/>
              </w:rPr>
            </w:pPr>
            <w:r>
              <w:rPr>
                <w:rFonts w:ascii="Calibri" w:hAnsi="Calibri" w:cs="Calibri"/>
                <w:color w:val="000000"/>
              </w:rPr>
              <w:t>Maximum Bldg. Height</w:t>
            </w:r>
          </w:p>
        </w:tc>
        <w:tc>
          <w:tcPr>
            <w:tcW w:w="921" w:type="dxa"/>
            <w:gridSpan w:val="2"/>
            <w:tcBorders>
              <w:top w:val="nil"/>
              <w:left w:val="nil"/>
              <w:bottom w:val="single" w:sz="4" w:space="0" w:color="auto"/>
              <w:right w:val="single" w:sz="4" w:space="0" w:color="auto"/>
            </w:tcBorders>
            <w:noWrap/>
            <w:vAlign w:val="bottom"/>
            <w:hideMark/>
          </w:tcPr>
          <w:p w14:paraId="2DF51DAB" w14:textId="77777777" w:rsidR="007A411C" w:rsidRDefault="007A411C">
            <w:pPr>
              <w:jc w:val="right"/>
              <w:rPr>
                <w:rFonts w:ascii="Calibri" w:hAnsi="Calibri" w:cs="Calibri"/>
                <w:color w:val="000000"/>
              </w:rPr>
            </w:pPr>
            <w:r>
              <w:rPr>
                <w:rFonts w:ascii="Calibri" w:hAnsi="Calibri" w:cs="Calibri"/>
                <w:color w:val="000000"/>
              </w:rPr>
              <w:t>35</w:t>
            </w:r>
          </w:p>
        </w:tc>
      </w:tr>
      <w:tr w:rsidR="007A411C" w14:paraId="22A789B9" w14:textId="77777777" w:rsidTr="007A411C">
        <w:trPr>
          <w:trHeight w:val="300"/>
        </w:trPr>
        <w:tc>
          <w:tcPr>
            <w:tcW w:w="7020" w:type="dxa"/>
            <w:gridSpan w:val="5"/>
            <w:tcBorders>
              <w:top w:val="single" w:sz="4" w:space="0" w:color="auto"/>
              <w:left w:val="single" w:sz="4" w:space="0" w:color="auto"/>
              <w:bottom w:val="single" w:sz="4" w:space="0" w:color="auto"/>
              <w:right w:val="single" w:sz="4" w:space="0" w:color="000000"/>
            </w:tcBorders>
            <w:noWrap/>
            <w:vAlign w:val="bottom"/>
          </w:tcPr>
          <w:p w14:paraId="5969724B" w14:textId="77777777" w:rsidR="007A411C" w:rsidRDefault="007A411C">
            <w:pPr>
              <w:jc w:val="center"/>
              <w:rPr>
                <w:rFonts w:ascii="Calibri" w:hAnsi="Calibri" w:cs="Calibri"/>
                <w:b/>
                <w:bCs/>
                <w:color w:val="000000"/>
              </w:rPr>
            </w:pPr>
          </w:p>
          <w:p w14:paraId="3D528AE7" w14:textId="77777777" w:rsidR="007A411C" w:rsidRDefault="007A411C">
            <w:pPr>
              <w:jc w:val="center"/>
              <w:rPr>
                <w:rFonts w:ascii="Calibri" w:hAnsi="Calibri" w:cs="Calibri"/>
                <w:b/>
                <w:bCs/>
                <w:color w:val="000000"/>
              </w:rPr>
            </w:pPr>
            <w:r>
              <w:rPr>
                <w:rFonts w:ascii="Calibri" w:hAnsi="Calibri" w:cs="Calibri"/>
                <w:b/>
                <w:bCs/>
                <w:color w:val="000000"/>
              </w:rPr>
              <w:t>Nonresidential Lot Types</w:t>
            </w:r>
          </w:p>
        </w:tc>
      </w:tr>
      <w:tr w:rsidR="007A411C" w14:paraId="18D1DB1E" w14:textId="77777777" w:rsidTr="007A411C">
        <w:trPr>
          <w:trHeight w:val="300"/>
        </w:trPr>
        <w:tc>
          <w:tcPr>
            <w:tcW w:w="3115" w:type="dxa"/>
            <w:gridSpan w:val="2"/>
            <w:vMerge w:val="restart"/>
            <w:tcBorders>
              <w:top w:val="nil"/>
              <w:left w:val="single" w:sz="4" w:space="0" w:color="auto"/>
              <w:bottom w:val="single" w:sz="4" w:space="0" w:color="000000"/>
              <w:right w:val="single" w:sz="4" w:space="0" w:color="auto"/>
            </w:tcBorders>
            <w:noWrap/>
            <w:hideMark/>
          </w:tcPr>
          <w:p w14:paraId="105B54D4" w14:textId="77777777" w:rsidR="007A411C" w:rsidRDefault="007A411C">
            <w:pPr>
              <w:jc w:val="right"/>
              <w:rPr>
                <w:rFonts w:ascii="Calibri" w:hAnsi="Calibri" w:cs="Calibri"/>
                <w:b/>
                <w:bCs/>
                <w:color w:val="000000"/>
              </w:rPr>
            </w:pPr>
            <w:r>
              <w:rPr>
                <w:rFonts w:ascii="Calibri" w:hAnsi="Calibri" w:cs="Calibri"/>
                <w:b/>
                <w:bCs/>
                <w:color w:val="000000"/>
              </w:rPr>
              <w:t>Commercial/Mixed-Use</w:t>
            </w:r>
          </w:p>
        </w:tc>
        <w:tc>
          <w:tcPr>
            <w:tcW w:w="3080" w:type="dxa"/>
            <w:gridSpan w:val="2"/>
            <w:tcBorders>
              <w:top w:val="nil"/>
              <w:left w:val="nil"/>
              <w:bottom w:val="single" w:sz="4" w:space="0" w:color="auto"/>
              <w:right w:val="single" w:sz="4" w:space="0" w:color="auto"/>
            </w:tcBorders>
            <w:noWrap/>
            <w:vAlign w:val="bottom"/>
            <w:hideMark/>
          </w:tcPr>
          <w:p w14:paraId="1AD1FB98" w14:textId="77777777" w:rsidR="007A411C" w:rsidRDefault="007A411C">
            <w:pPr>
              <w:rPr>
                <w:rFonts w:ascii="Calibri" w:hAnsi="Calibri" w:cs="Calibri"/>
                <w:color w:val="000000"/>
              </w:rPr>
            </w:pPr>
            <w:r>
              <w:rPr>
                <w:rFonts w:ascii="Calibri" w:hAnsi="Calibri" w:cs="Calibri"/>
                <w:color w:val="000000"/>
              </w:rPr>
              <w:t>Min. Lot Width</w:t>
            </w:r>
          </w:p>
        </w:tc>
        <w:tc>
          <w:tcPr>
            <w:tcW w:w="825" w:type="dxa"/>
            <w:tcBorders>
              <w:top w:val="nil"/>
              <w:left w:val="nil"/>
              <w:bottom w:val="single" w:sz="4" w:space="0" w:color="auto"/>
              <w:right w:val="single" w:sz="4" w:space="0" w:color="auto"/>
            </w:tcBorders>
            <w:noWrap/>
            <w:vAlign w:val="bottom"/>
            <w:hideMark/>
          </w:tcPr>
          <w:p w14:paraId="04ADC100" w14:textId="77777777" w:rsidR="007A411C" w:rsidRDefault="007A411C">
            <w:pPr>
              <w:rPr>
                <w:rFonts w:ascii="Calibri" w:hAnsi="Calibri" w:cs="Calibri"/>
                <w:color w:val="000000"/>
              </w:rPr>
            </w:pPr>
            <w:r>
              <w:rPr>
                <w:rFonts w:ascii="Calibri" w:hAnsi="Calibri" w:cs="Calibri"/>
                <w:color w:val="000000"/>
              </w:rPr>
              <w:t>N/A</w:t>
            </w:r>
          </w:p>
        </w:tc>
      </w:tr>
      <w:tr w:rsidR="007A411C" w14:paraId="37F80EB3"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45CFD7A1"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51900B23" w14:textId="77777777" w:rsidR="007A411C" w:rsidRDefault="007A411C">
            <w:pPr>
              <w:rPr>
                <w:rFonts w:ascii="Calibri" w:hAnsi="Calibri" w:cs="Calibri"/>
                <w:color w:val="000000"/>
              </w:rPr>
            </w:pPr>
            <w:r>
              <w:rPr>
                <w:rFonts w:ascii="Calibri" w:hAnsi="Calibri" w:cs="Calibri"/>
                <w:color w:val="000000"/>
              </w:rPr>
              <w:t>Min. Lot Depth</w:t>
            </w:r>
          </w:p>
        </w:tc>
        <w:tc>
          <w:tcPr>
            <w:tcW w:w="825" w:type="dxa"/>
            <w:tcBorders>
              <w:top w:val="nil"/>
              <w:left w:val="nil"/>
              <w:bottom w:val="single" w:sz="4" w:space="0" w:color="auto"/>
              <w:right w:val="single" w:sz="4" w:space="0" w:color="auto"/>
            </w:tcBorders>
            <w:noWrap/>
            <w:vAlign w:val="bottom"/>
            <w:hideMark/>
          </w:tcPr>
          <w:p w14:paraId="1E081AC7" w14:textId="77777777" w:rsidR="007A411C" w:rsidRDefault="007A411C">
            <w:pPr>
              <w:rPr>
                <w:rFonts w:ascii="Calibri" w:hAnsi="Calibri" w:cs="Calibri"/>
                <w:color w:val="000000"/>
              </w:rPr>
            </w:pPr>
            <w:r>
              <w:rPr>
                <w:rFonts w:ascii="Calibri" w:hAnsi="Calibri" w:cs="Calibri"/>
                <w:color w:val="000000"/>
              </w:rPr>
              <w:t>N/A</w:t>
            </w:r>
          </w:p>
        </w:tc>
      </w:tr>
      <w:tr w:rsidR="007A411C" w14:paraId="55D74871"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4258AAAA"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5E981A17" w14:textId="77777777" w:rsidR="007A411C" w:rsidRDefault="007A411C">
            <w:pPr>
              <w:rPr>
                <w:rFonts w:ascii="Calibri" w:hAnsi="Calibri" w:cs="Calibri"/>
                <w:color w:val="000000"/>
              </w:rPr>
            </w:pPr>
            <w:r>
              <w:rPr>
                <w:rFonts w:ascii="Calibri" w:hAnsi="Calibri" w:cs="Calibri"/>
                <w:color w:val="000000"/>
              </w:rPr>
              <w:t>Min. Front Yard Setback</w:t>
            </w:r>
          </w:p>
        </w:tc>
        <w:tc>
          <w:tcPr>
            <w:tcW w:w="825" w:type="dxa"/>
            <w:tcBorders>
              <w:top w:val="nil"/>
              <w:left w:val="nil"/>
              <w:bottom w:val="single" w:sz="4" w:space="0" w:color="auto"/>
              <w:right w:val="single" w:sz="4" w:space="0" w:color="auto"/>
            </w:tcBorders>
            <w:noWrap/>
            <w:vAlign w:val="bottom"/>
            <w:hideMark/>
          </w:tcPr>
          <w:p w14:paraId="0C2DD87F" w14:textId="77777777" w:rsidR="007A411C" w:rsidRDefault="007A411C">
            <w:pPr>
              <w:jc w:val="right"/>
              <w:rPr>
                <w:rFonts w:ascii="Calibri" w:hAnsi="Calibri" w:cs="Calibri"/>
                <w:color w:val="000000"/>
              </w:rPr>
            </w:pPr>
            <w:r>
              <w:rPr>
                <w:rFonts w:ascii="Calibri" w:hAnsi="Calibri" w:cs="Calibri"/>
                <w:color w:val="000000"/>
              </w:rPr>
              <w:t>0</w:t>
            </w:r>
          </w:p>
        </w:tc>
      </w:tr>
      <w:tr w:rsidR="007A411C" w14:paraId="77937D9A"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3F02FBC1"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7080F9BF" w14:textId="77777777" w:rsidR="007A411C" w:rsidRDefault="007A411C">
            <w:pPr>
              <w:rPr>
                <w:rFonts w:ascii="Calibri" w:hAnsi="Calibri" w:cs="Calibri"/>
                <w:color w:val="000000"/>
              </w:rPr>
            </w:pPr>
            <w:r>
              <w:rPr>
                <w:rFonts w:ascii="Calibri" w:hAnsi="Calibri" w:cs="Calibri"/>
                <w:color w:val="000000"/>
              </w:rPr>
              <w:t>Min. Side Yard Setback</w:t>
            </w:r>
          </w:p>
        </w:tc>
        <w:tc>
          <w:tcPr>
            <w:tcW w:w="825" w:type="dxa"/>
            <w:tcBorders>
              <w:top w:val="nil"/>
              <w:left w:val="nil"/>
              <w:bottom w:val="single" w:sz="4" w:space="0" w:color="auto"/>
              <w:right w:val="single" w:sz="4" w:space="0" w:color="auto"/>
            </w:tcBorders>
            <w:noWrap/>
            <w:vAlign w:val="bottom"/>
            <w:hideMark/>
          </w:tcPr>
          <w:p w14:paraId="1EF9FE0A" w14:textId="77777777" w:rsidR="007A411C" w:rsidRDefault="007A411C">
            <w:pPr>
              <w:jc w:val="right"/>
              <w:rPr>
                <w:rFonts w:ascii="Calibri" w:hAnsi="Calibri" w:cs="Calibri"/>
                <w:color w:val="000000"/>
              </w:rPr>
            </w:pPr>
            <w:r>
              <w:rPr>
                <w:rFonts w:ascii="Calibri" w:hAnsi="Calibri" w:cs="Calibri"/>
                <w:color w:val="000000"/>
              </w:rPr>
              <w:t>5</w:t>
            </w:r>
          </w:p>
        </w:tc>
      </w:tr>
      <w:tr w:rsidR="007A411C" w14:paraId="5136A059"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70467115"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596D2172" w14:textId="77777777" w:rsidR="007A411C" w:rsidRDefault="007A411C">
            <w:pPr>
              <w:rPr>
                <w:rFonts w:ascii="Calibri" w:hAnsi="Calibri" w:cs="Calibri"/>
                <w:color w:val="000000"/>
              </w:rPr>
            </w:pPr>
            <w:r>
              <w:rPr>
                <w:rFonts w:ascii="Calibri" w:hAnsi="Calibri" w:cs="Calibri"/>
                <w:color w:val="000000"/>
              </w:rPr>
              <w:t>Min. Rear Yard Setback</w:t>
            </w:r>
          </w:p>
        </w:tc>
        <w:tc>
          <w:tcPr>
            <w:tcW w:w="825" w:type="dxa"/>
            <w:tcBorders>
              <w:top w:val="nil"/>
              <w:left w:val="nil"/>
              <w:bottom w:val="single" w:sz="4" w:space="0" w:color="auto"/>
              <w:right w:val="single" w:sz="4" w:space="0" w:color="auto"/>
            </w:tcBorders>
            <w:noWrap/>
            <w:vAlign w:val="bottom"/>
            <w:hideMark/>
          </w:tcPr>
          <w:p w14:paraId="4AA90521" w14:textId="77777777" w:rsidR="007A411C" w:rsidRDefault="007A411C">
            <w:pPr>
              <w:jc w:val="right"/>
              <w:rPr>
                <w:rFonts w:ascii="Calibri" w:hAnsi="Calibri" w:cs="Calibri"/>
                <w:color w:val="000000"/>
              </w:rPr>
            </w:pPr>
            <w:r>
              <w:rPr>
                <w:rFonts w:ascii="Calibri" w:hAnsi="Calibri" w:cs="Calibri"/>
                <w:color w:val="000000"/>
              </w:rPr>
              <w:t>10</w:t>
            </w:r>
          </w:p>
        </w:tc>
      </w:tr>
      <w:tr w:rsidR="007A411C" w14:paraId="030B2E1F"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37B25C9C"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5097A430" w14:textId="77777777" w:rsidR="007A411C" w:rsidRDefault="007A411C">
            <w:pPr>
              <w:rPr>
                <w:rFonts w:ascii="Calibri" w:hAnsi="Calibri" w:cs="Calibri"/>
                <w:color w:val="000000"/>
              </w:rPr>
            </w:pPr>
            <w:r>
              <w:rPr>
                <w:rFonts w:ascii="Calibri" w:hAnsi="Calibri" w:cs="Calibri"/>
                <w:color w:val="000000"/>
              </w:rPr>
              <w:t>Maximum Bldg. Height</w:t>
            </w:r>
          </w:p>
        </w:tc>
        <w:tc>
          <w:tcPr>
            <w:tcW w:w="825" w:type="dxa"/>
            <w:tcBorders>
              <w:top w:val="nil"/>
              <w:left w:val="nil"/>
              <w:bottom w:val="single" w:sz="4" w:space="0" w:color="auto"/>
              <w:right w:val="single" w:sz="4" w:space="0" w:color="auto"/>
            </w:tcBorders>
            <w:noWrap/>
            <w:vAlign w:val="bottom"/>
            <w:hideMark/>
          </w:tcPr>
          <w:p w14:paraId="6482A545" w14:textId="77777777" w:rsidR="007A411C" w:rsidRDefault="007A411C">
            <w:pPr>
              <w:jc w:val="right"/>
              <w:rPr>
                <w:rFonts w:ascii="Calibri" w:hAnsi="Calibri" w:cs="Calibri"/>
                <w:color w:val="000000"/>
              </w:rPr>
            </w:pPr>
            <w:r>
              <w:rPr>
                <w:rFonts w:ascii="Calibri" w:hAnsi="Calibri" w:cs="Calibri"/>
                <w:color w:val="000000"/>
              </w:rPr>
              <w:t>72</w:t>
            </w:r>
          </w:p>
        </w:tc>
      </w:tr>
      <w:tr w:rsidR="007A411C" w14:paraId="43EAEEB2" w14:textId="77777777" w:rsidTr="007A411C">
        <w:trPr>
          <w:trHeight w:val="300"/>
        </w:trPr>
        <w:tc>
          <w:tcPr>
            <w:tcW w:w="3115" w:type="dxa"/>
            <w:gridSpan w:val="2"/>
            <w:vMerge w:val="restart"/>
            <w:tcBorders>
              <w:top w:val="nil"/>
              <w:left w:val="single" w:sz="4" w:space="0" w:color="auto"/>
              <w:bottom w:val="single" w:sz="4" w:space="0" w:color="000000"/>
              <w:right w:val="single" w:sz="4" w:space="0" w:color="auto"/>
            </w:tcBorders>
            <w:noWrap/>
            <w:hideMark/>
          </w:tcPr>
          <w:p w14:paraId="5EF51DDF" w14:textId="77777777" w:rsidR="007A411C" w:rsidRDefault="007A411C">
            <w:pPr>
              <w:jc w:val="right"/>
              <w:rPr>
                <w:rFonts w:ascii="Calibri" w:hAnsi="Calibri" w:cs="Calibri"/>
                <w:b/>
                <w:bCs/>
                <w:color w:val="000000"/>
              </w:rPr>
            </w:pPr>
            <w:r>
              <w:rPr>
                <w:rFonts w:ascii="Calibri" w:hAnsi="Calibri" w:cs="Calibri"/>
                <w:b/>
                <w:bCs/>
                <w:color w:val="000000"/>
              </w:rPr>
              <w:t>Institutional</w:t>
            </w:r>
          </w:p>
        </w:tc>
        <w:tc>
          <w:tcPr>
            <w:tcW w:w="3080" w:type="dxa"/>
            <w:gridSpan w:val="2"/>
            <w:tcBorders>
              <w:top w:val="nil"/>
              <w:left w:val="nil"/>
              <w:bottom w:val="single" w:sz="4" w:space="0" w:color="auto"/>
              <w:right w:val="single" w:sz="4" w:space="0" w:color="auto"/>
            </w:tcBorders>
            <w:noWrap/>
            <w:vAlign w:val="bottom"/>
            <w:hideMark/>
          </w:tcPr>
          <w:p w14:paraId="7C87E035" w14:textId="77777777" w:rsidR="007A411C" w:rsidRDefault="007A411C">
            <w:pPr>
              <w:rPr>
                <w:rFonts w:ascii="Calibri" w:hAnsi="Calibri" w:cs="Calibri"/>
                <w:color w:val="000000"/>
              </w:rPr>
            </w:pPr>
            <w:r>
              <w:rPr>
                <w:rFonts w:ascii="Calibri" w:hAnsi="Calibri" w:cs="Calibri"/>
                <w:color w:val="000000"/>
              </w:rPr>
              <w:t>Min. Lot Width</w:t>
            </w:r>
          </w:p>
        </w:tc>
        <w:tc>
          <w:tcPr>
            <w:tcW w:w="825" w:type="dxa"/>
            <w:tcBorders>
              <w:top w:val="nil"/>
              <w:left w:val="nil"/>
              <w:bottom w:val="single" w:sz="4" w:space="0" w:color="auto"/>
              <w:right w:val="single" w:sz="4" w:space="0" w:color="auto"/>
            </w:tcBorders>
            <w:noWrap/>
            <w:vAlign w:val="bottom"/>
            <w:hideMark/>
          </w:tcPr>
          <w:p w14:paraId="03B14D30" w14:textId="77777777" w:rsidR="007A411C" w:rsidRDefault="007A411C">
            <w:pPr>
              <w:rPr>
                <w:rFonts w:ascii="Calibri" w:hAnsi="Calibri" w:cs="Calibri"/>
                <w:color w:val="000000"/>
              </w:rPr>
            </w:pPr>
            <w:r>
              <w:rPr>
                <w:rFonts w:ascii="Calibri" w:hAnsi="Calibri" w:cs="Calibri"/>
                <w:color w:val="000000"/>
              </w:rPr>
              <w:t>N/A</w:t>
            </w:r>
          </w:p>
        </w:tc>
      </w:tr>
      <w:tr w:rsidR="007A411C" w14:paraId="01591365"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26D40EB6"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3045331C" w14:textId="77777777" w:rsidR="007A411C" w:rsidRDefault="007A411C">
            <w:pPr>
              <w:rPr>
                <w:rFonts w:ascii="Calibri" w:hAnsi="Calibri" w:cs="Calibri"/>
                <w:color w:val="000000"/>
              </w:rPr>
            </w:pPr>
            <w:r>
              <w:rPr>
                <w:rFonts w:ascii="Calibri" w:hAnsi="Calibri" w:cs="Calibri"/>
                <w:color w:val="000000"/>
              </w:rPr>
              <w:t>Min. Lot Depth</w:t>
            </w:r>
          </w:p>
        </w:tc>
        <w:tc>
          <w:tcPr>
            <w:tcW w:w="825" w:type="dxa"/>
            <w:tcBorders>
              <w:top w:val="nil"/>
              <w:left w:val="nil"/>
              <w:bottom w:val="single" w:sz="4" w:space="0" w:color="auto"/>
              <w:right w:val="single" w:sz="4" w:space="0" w:color="auto"/>
            </w:tcBorders>
            <w:noWrap/>
            <w:vAlign w:val="bottom"/>
            <w:hideMark/>
          </w:tcPr>
          <w:p w14:paraId="69C68E97" w14:textId="77777777" w:rsidR="007A411C" w:rsidRDefault="007A411C">
            <w:pPr>
              <w:rPr>
                <w:rFonts w:ascii="Calibri" w:hAnsi="Calibri" w:cs="Calibri"/>
                <w:color w:val="000000"/>
              </w:rPr>
            </w:pPr>
            <w:r>
              <w:rPr>
                <w:rFonts w:ascii="Calibri" w:hAnsi="Calibri" w:cs="Calibri"/>
                <w:color w:val="000000"/>
              </w:rPr>
              <w:t>N/A</w:t>
            </w:r>
          </w:p>
        </w:tc>
      </w:tr>
      <w:tr w:rsidR="007A411C" w14:paraId="1F58A384"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5149C9AE"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16CAF6B3" w14:textId="77777777" w:rsidR="007A411C" w:rsidRDefault="007A411C">
            <w:pPr>
              <w:rPr>
                <w:rFonts w:ascii="Calibri" w:hAnsi="Calibri" w:cs="Calibri"/>
                <w:color w:val="000000"/>
              </w:rPr>
            </w:pPr>
            <w:r>
              <w:rPr>
                <w:rFonts w:ascii="Calibri" w:hAnsi="Calibri" w:cs="Calibri"/>
                <w:color w:val="000000"/>
              </w:rPr>
              <w:t>Min. Front Yard Setback</w:t>
            </w:r>
          </w:p>
        </w:tc>
        <w:tc>
          <w:tcPr>
            <w:tcW w:w="825" w:type="dxa"/>
            <w:tcBorders>
              <w:top w:val="nil"/>
              <w:left w:val="nil"/>
              <w:bottom w:val="single" w:sz="4" w:space="0" w:color="auto"/>
              <w:right w:val="single" w:sz="4" w:space="0" w:color="auto"/>
            </w:tcBorders>
            <w:noWrap/>
            <w:vAlign w:val="bottom"/>
            <w:hideMark/>
          </w:tcPr>
          <w:p w14:paraId="0366F1D8" w14:textId="77777777" w:rsidR="007A411C" w:rsidRDefault="007A411C">
            <w:pPr>
              <w:jc w:val="right"/>
              <w:rPr>
                <w:rFonts w:ascii="Calibri" w:hAnsi="Calibri" w:cs="Calibri"/>
                <w:color w:val="000000"/>
              </w:rPr>
            </w:pPr>
            <w:r>
              <w:rPr>
                <w:rFonts w:ascii="Calibri" w:hAnsi="Calibri" w:cs="Calibri"/>
                <w:color w:val="000000"/>
              </w:rPr>
              <w:t>0</w:t>
            </w:r>
          </w:p>
        </w:tc>
      </w:tr>
      <w:tr w:rsidR="007A411C" w14:paraId="7B34C1D9"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2685D3B3"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77173E36" w14:textId="77777777" w:rsidR="007A411C" w:rsidRDefault="007A411C">
            <w:pPr>
              <w:rPr>
                <w:rFonts w:ascii="Calibri" w:hAnsi="Calibri" w:cs="Calibri"/>
                <w:color w:val="000000"/>
              </w:rPr>
            </w:pPr>
            <w:r>
              <w:rPr>
                <w:rFonts w:ascii="Calibri" w:hAnsi="Calibri" w:cs="Calibri"/>
                <w:color w:val="000000"/>
              </w:rPr>
              <w:t>Min. Side Yard Setback</w:t>
            </w:r>
          </w:p>
        </w:tc>
        <w:tc>
          <w:tcPr>
            <w:tcW w:w="825" w:type="dxa"/>
            <w:tcBorders>
              <w:top w:val="nil"/>
              <w:left w:val="nil"/>
              <w:bottom w:val="single" w:sz="4" w:space="0" w:color="auto"/>
              <w:right w:val="single" w:sz="4" w:space="0" w:color="auto"/>
            </w:tcBorders>
            <w:noWrap/>
            <w:vAlign w:val="bottom"/>
            <w:hideMark/>
          </w:tcPr>
          <w:p w14:paraId="51BA82B2" w14:textId="77777777" w:rsidR="007A411C" w:rsidRDefault="007A411C">
            <w:pPr>
              <w:jc w:val="right"/>
              <w:rPr>
                <w:rFonts w:ascii="Calibri" w:hAnsi="Calibri" w:cs="Calibri"/>
                <w:color w:val="000000"/>
              </w:rPr>
            </w:pPr>
            <w:r>
              <w:rPr>
                <w:rFonts w:ascii="Calibri" w:hAnsi="Calibri" w:cs="Calibri"/>
                <w:color w:val="000000"/>
              </w:rPr>
              <w:t>5</w:t>
            </w:r>
          </w:p>
        </w:tc>
      </w:tr>
      <w:tr w:rsidR="007A411C" w14:paraId="4FC883A8"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31FDA435"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6A916130" w14:textId="77777777" w:rsidR="007A411C" w:rsidRDefault="007A411C">
            <w:pPr>
              <w:rPr>
                <w:rFonts w:ascii="Calibri" w:hAnsi="Calibri" w:cs="Calibri"/>
                <w:color w:val="000000"/>
              </w:rPr>
            </w:pPr>
            <w:r>
              <w:rPr>
                <w:rFonts w:ascii="Calibri" w:hAnsi="Calibri" w:cs="Calibri"/>
                <w:color w:val="000000"/>
              </w:rPr>
              <w:t>Min. Rear Yard Setback</w:t>
            </w:r>
          </w:p>
        </w:tc>
        <w:tc>
          <w:tcPr>
            <w:tcW w:w="825" w:type="dxa"/>
            <w:tcBorders>
              <w:top w:val="nil"/>
              <w:left w:val="nil"/>
              <w:bottom w:val="single" w:sz="4" w:space="0" w:color="auto"/>
              <w:right w:val="single" w:sz="4" w:space="0" w:color="auto"/>
            </w:tcBorders>
            <w:noWrap/>
            <w:vAlign w:val="bottom"/>
            <w:hideMark/>
          </w:tcPr>
          <w:p w14:paraId="664A69C4" w14:textId="77777777" w:rsidR="007A411C" w:rsidRDefault="007A411C">
            <w:pPr>
              <w:jc w:val="right"/>
              <w:rPr>
                <w:rFonts w:ascii="Calibri" w:hAnsi="Calibri" w:cs="Calibri"/>
                <w:color w:val="000000"/>
              </w:rPr>
            </w:pPr>
            <w:r>
              <w:rPr>
                <w:rFonts w:ascii="Calibri" w:hAnsi="Calibri" w:cs="Calibri"/>
                <w:color w:val="000000"/>
              </w:rPr>
              <w:t>10</w:t>
            </w:r>
          </w:p>
        </w:tc>
      </w:tr>
      <w:tr w:rsidR="007A411C" w14:paraId="2F05D5EA"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5A6F9CBF"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06DD27A1" w14:textId="77777777" w:rsidR="007A411C" w:rsidRDefault="007A411C">
            <w:pPr>
              <w:rPr>
                <w:rFonts w:ascii="Calibri" w:hAnsi="Calibri" w:cs="Calibri"/>
                <w:color w:val="000000"/>
              </w:rPr>
            </w:pPr>
            <w:r>
              <w:rPr>
                <w:rFonts w:ascii="Calibri" w:hAnsi="Calibri" w:cs="Calibri"/>
                <w:color w:val="000000"/>
              </w:rPr>
              <w:t>Maximum Bldg. Height</w:t>
            </w:r>
          </w:p>
        </w:tc>
        <w:tc>
          <w:tcPr>
            <w:tcW w:w="825" w:type="dxa"/>
            <w:tcBorders>
              <w:top w:val="nil"/>
              <w:left w:val="nil"/>
              <w:bottom w:val="single" w:sz="4" w:space="0" w:color="auto"/>
              <w:right w:val="single" w:sz="4" w:space="0" w:color="auto"/>
            </w:tcBorders>
            <w:noWrap/>
            <w:vAlign w:val="bottom"/>
            <w:hideMark/>
          </w:tcPr>
          <w:p w14:paraId="6D45EF9A" w14:textId="77777777" w:rsidR="007A411C" w:rsidRDefault="007A411C">
            <w:pPr>
              <w:jc w:val="right"/>
              <w:rPr>
                <w:rFonts w:ascii="Calibri" w:hAnsi="Calibri" w:cs="Calibri"/>
                <w:color w:val="000000"/>
              </w:rPr>
            </w:pPr>
            <w:r>
              <w:rPr>
                <w:rFonts w:ascii="Calibri" w:hAnsi="Calibri" w:cs="Calibri"/>
                <w:color w:val="000000"/>
              </w:rPr>
              <w:t>100</w:t>
            </w:r>
          </w:p>
        </w:tc>
      </w:tr>
      <w:tr w:rsidR="007A411C" w14:paraId="7AB1200D" w14:textId="77777777" w:rsidTr="007A411C">
        <w:trPr>
          <w:trHeight w:val="300"/>
        </w:trPr>
        <w:tc>
          <w:tcPr>
            <w:tcW w:w="3115" w:type="dxa"/>
            <w:gridSpan w:val="2"/>
            <w:vMerge w:val="restart"/>
            <w:tcBorders>
              <w:top w:val="nil"/>
              <w:left w:val="single" w:sz="4" w:space="0" w:color="auto"/>
              <w:bottom w:val="single" w:sz="4" w:space="0" w:color="000000"/>
              <w:right w:val="single" w:sz="4" w:space="0" w:color="auto"/>
            </w:tcBorders>
            <w:noWrap/>
            <w:hideMark/>
          </w:tcPr>
          <w:p w14:paraId="0DEC4C4D" w14:textId="77777777" w:rsidR="007A411C" w:rsidRDefault="007A411C">
            <w:pPr>
              <w:jc w:val="right"/>
              <w:rPr>
                <w:rFonts w:ascii="Calibri" w:hAnsi="Calibri" w:cs="Calibri"/>
                <w:b/>
                <w:bCs/>
                <w:color w:val="000000"/>
              </w:rPr>
            </w:pPr>
            <w:r>
              <w:rPr>
                <w:rFonts w:ascii="Calibri" w:hAnsi="Calibri" w:cs="Calibri"/>
                <w:b/>
                <w:bCs/>
                <w:color w:val="000000"/>
              </w:rPr>
              <w:t>Self-Storage</w:t>
            </w:r>
          </w:p>
        </w:tc>
        <w:tc>
          <w:tcPr>
            <w:tcW w:w="3080" w:type="dxa"/>
            <w:gridSpan w:val="2"/>
            <w:tcBorders>
              <w:top w:val="nil"/>
              <w:left w:val="nil"/>
              <w:bottom w:val="single" w:sz="4" w:space="0" w:color="auto"/>
              <w:right w:val="single" w:sz="4" w:space="0" w:color="auto"/>
            </w:tcBorders>
            <w:noWrap/>
            <w:vAlign w:val="bottom"/>
            <w:hideMark/>
          </w:tcPr>
          <w:p w14:paraId="3D37D4BA" w14:textId="77777777" w:rsidR="007A411C" w:rsidRDefault="007A411C">
            <w:pPr>
              <w:rPr>
                <w:rFonts w:ascii="Calibri" w:hAnsi="Calibri" w:cs="Calibri"/>
                <w:color w:val="000000"/>
              </w:rPr>
            </w:pPr>
            <w:r>
              <w:rPr>
                <w:rFonts w:ascii="Calibri" w:hAnsi="Calibri" w:cs="Calibri"/>
                <w:color w:val="000000"/>
              </w:rPr>
              <w:t>Min. Lot Width</w:t>
            </w:r>
          </w:p>
        </w:tc>
        <w:tc>
          <w:tcPr>
            <w:tcW w:w="825" w:type="dxa"/>
            <w:tcBorders>
              <w:top w:val="nil"/>
              <w:left w:val="nil"/>
              <w:bottom w:val="single" w:sz="4" w:space="0" w:color="auto"/>
              <w:right w:val="single" w:sz="4" w:space="0" w:color="auto"/>
            </w:tcBorders>
            <w:noWrap/>
            <w:vAlign w:val="bottom"/>
            <w:hideMark/>
          </w:tcPr>
          <w:p w14:paraId="21E8CA99" w14:textId="77777777" w:rsidR="007A411C" w:rsidRDefault="007A411C">
            <w:pPr>
              <w:rPr>
                <w:rFonts w:ascii="Calibri" w:hAnsi="Calibri" w:cs="Calibri"/>
                <w:color w:val="000000"/>
              </w:rPr>
            </w:pPr>
            <w:r>
              <w:rPr>
                <w:rFonts w:ascii="Calibri" w:hAnsi="Calibri" w:cs="Calibri"/>
                <w:color w:val="000000"/>
              </w:rPr>
              <w:t>N/A</w:t>
            </w:r>
          </w:p>
        </w:tc>
      </w:tr>
      <w:tr w:rsidR="007A411C" w14:paraId="47E1B482"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78279612"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21B51A6A" w14:textId="77777777" w:rsidR="007A411C" w:rsidRDefault="007A411C">
            <w:pPr>
              <w:rPr>
                <w:rFonts w:ascii="Calibri" w:hAnsi="Calibri" w:cs="Calibri"/>
                <w:color w:val="000000"/>
              </w:rPr>
            </w:pPr>
            <w:r>
              <w:rPr>
                <w:rFonts w:ascii="Calibri" w:hAnsi="Calibri" w:cs="Calibri"/>
                <w:color w:val="000000"/>
              </w:rPr>
              <w:t>Min. Lot Depth</w:t>
            </w:r>
          </w:p>
        </w:tc>
        <w:tc>
          <w:tcPr>
            <w:tcW w:w="825" w:type="dxa"/>
            <w:tcBorders>
              <w:top w:val="nil"/>
              <w:left w:val="nil"/>
              <w:bottom w:val="single" w:sz="4" w:space="0" w:color="auto"/>
              <w:right w:val="single" w:sz="4" w:space="0" w:color="auto"/>
            </w:tcBorders>
            <w:noWrap/>
            <w:vAlign w:val="bottom"/>
            <w:hideMark/>
          </w:tcPr>
          <w:p w14:paraId="3BC3214F" w14:textId="77777777" w:rsidR="007A411C" w:rsidRDefault="007A411C">
            <w:pPr>
              <w:rPr>
                <w:rFonts w:ascii="Calibri" w:hAnsi="Calibri" w:cs="Calibri"/>
                <w:color w:val="000000"/>
              </w:rPr>
            </w:pPr>
            <w:r>
              <w:rPr>
                <w:rFonts w:ascii="Calibri" w:hAnsi="Calibri" w:cs="Calibri"/>
                <w:color w:val="000000"/>
              </w:rPr>
              <w:t>N/A</w:t>
            </w:r>
          </w:p>
        </w:tc>
      </w:tr>
      <w:tr w:rsidR="007A411C" w14:paraId="6B13BFAD"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38D6ACC7"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1EAF280F" w14:textId="77777777" w:rsidR="007A411C" w:rsidRDefault="007A411C">
            <w:pPr>
              <w:rPr>
                <w:rFonts w:ascii="Calibri" w:hAnsi="Calibri" w:cs="Calibri"/>
                <w:color w:val="000000"/>
              </w:rPr>
            </w:pPr>
            <w:r>
              <w:rPr>
                <w:rFonts w:ascii="Calibri" w:hAnsi="Calibri" w:cs="Calibri"/>
                <w:color w:val="000000"/>
              </w:rPr>
              <w:t>Min. Front Yard Setback</w:t>
            </w:r>
          </w:p>
        </w:tc>
        <w:tc>
          <w:tcPr>
            <w:tcW w:w="825" w:type="dxa"/>
            <w:tcBorders>
              <w:top w:val="nil"/>
              <w:left w:val="nil"/>
              <w:bottom w:val="single" w:sz="4" w:space="0" w:color="auto"/>
              <w:right w:val="single" w:sz="4" w:space="0" w:color="auto"/>
            </w:tcBorders>
            <w:noWrap/>
            <w:vAlign w:val="bottom"/>
            <w:hideMark/>
          </w:tcPr>
          <w:p w14:paraId="40A09227" w14:textId="77777777" w:rsidR="007A411C" w:rsidRDefault="007A411C">
            <w:pPr>
              <w:jc w:val="right"/>
              <w:rPr>
                <w:rFonts w:ascii="Calibri" w:hAnsi="Calibri" w:cs="Calibri"/>
                <w:color w:val="000000"/>
              </w:rPr>
            </w:pPr>
            <w:r>
              <w:rPr>
                <w:rFonts w:ascii="Calibri" w:hAnsi="Calibri" w:cs="Calibri"/>
                <w:color w:val="000000"/>
              </w:rPr>
              <w:t>0</w:t>
            </w:r>
          </w:p>
        </w:tc>
      </w:tr>
      <w:tr w:rsidR="007A411C" w14:paraId="60681D2C"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6FAD440F"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6518E929" w14:textId="77777777" w:rsidR="007A411C" w:rsidRDefault="007A411C">
            <w:pPr>
              <w:rPr>
                <w:rFonts w:ascii="Calibri" w:hAnsi="Calibri" w:cs="Calibri"/>
                <w:color w:val="000000"/>
              </w:rPr>
            </w:pPr>
            <w:r>
              <w:rPr>
                <w:rFonts w:ascii="Calibri" w:hAnsi="Calibri" w:cs="Calibri"/>
                <w:color w:val="000000"/>
              </w:rPr>
              <w:t>Min. Side Yard Setback</w:t>
            </w:r>
          </w:p>
        </w:tc>
        <w:tc>
          <w:tcPr>
            <w:tcW w:w="825" w:type="dxa"/>
            <w:tcBorders>
              <w:top w:val="nil"/>
              <w:left w:val="nil"/>
              <w:bottom w:val="single" w:sz="4" w:space="0" w:color="auto"/>
              <w:right w:val="single" w:sz="4" w:space="0" w:color="auto"/>
            </w:tcBorders>
            <w:noWrap/>
            <w:vAlign w:val="bottom"/>
            <w:hideMark/>
          </w:tcPr>
          <w:p w14:paraId="07B5B186" w14:textId="77777777" w:rsidR="007A411C" w:rsidRDefault="007A411C">
            <w:pPr>
              <w:jc w:val="right"/>
              <w:rPr>
                <w:rFonts w:ascii="Calibri" w:hAnsi="Calibri" w:cs="Calibri"/>
                <w:color w:val="000000"/>
              </w:rPr>
            </w:pPr>
            <w:r>
              <w:rPr>
                <w:rFonts w:ascii="Calibri" w:hAnsi="Calibri" w:cs="Calibri"/>
                <w:color w:val="000000"/>
              </w:rPr>
              <w:t>5</w:t>
            </w:r>
          </w:p>
        </w:tc>
      </w:tr>
      <w:tr w:rsidR="007A411C" w14:paraId="740AB0D5"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1534035E"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0771F396" w14:textId="77777777" w:rsidR="007A411C" w:rsidRDefault="007A411C">
            <w:pPr>
              <w:rPr>
                <w:rFonts w:ascii="Calibri" w:hAnsi="Calibri" w:cs="Calibri"/>
                <w:color w:val="000000"/>
              </w:rPr>
            </w:pPr>
            <w:r>
              <w:rPr>
                <w:rFonts w:ascii="Calibri" w:hAnsi="Calibri" w:cs="Calibri"/>
                <w:color w:val="000000"/>
              </w:rPr>
              <w:t>Min. Rear Yard Setback</w:t>
            </w:r>
          </w:p>
        </w:tc>
        <w:tc>
          <w:tcPr>
            <w:tcW w:w="825" w:type="dxa"/>
            <w:tcBorders>
              <w:top w:val="nil"/>
              <w:left w:val="nil"/>
              <w:bottom w:val="single" w:sz="4" w:space="0" w:color="auto"/>
              <w:right w:val="single" w:sz="4" w:space="0" w:color="auto"/>
            </w:tcBorders>
            <w:noWrap/>
            <w:vAlign w:val="bottom"/>
            <w:hideMark/>
          </w:tcPr>
          <w:p w14:paraId="399A6B14" w14:textId="77777777" w:rsidR="007A411C" w:rsidRDefault="007A411C">
            <w:pPr>
              <w:jc w:val="right"/>
              <w:rPr>
                <w:rFonts w:ascii="Calibri" w:hAnsi="Calibri" w:cs="Calibri"/>
                <w:color w:val="000000"/>
              </w:rPr>
            </w:pPr>
            <w:r>
              <w:rPr>
                <w:rFonts w:ascii="Calibri" w:hAnsi="Calibri" w:cs="Calibri"/>
                <w:color w:val="000000"/>
              </w:rPr>
              <w:t>10</w:t>
            </w:r>
          </w:p>
        </w:tc>
      </w:tr>
      <w:tr w:rsidR="007A411C" w14:paraId="315C48D7" w14:textId="77777777" w:rsidTr="007A411C">
        <w:trPr>
          <w:trHeight w:val="300"/>
        </w:trPr>
        <w:tc>
          <w:tcPr>
            <w:tcW w:w="0" w:type="auto"/>
            <w:gridSpan w:val="2"/>
            <w:vMerge/>
            <w:tcBorders>
              <w:top w:val="nil"/>
              <w:left w:val="single" w:sz="4" w:space="0" w:color="auto"/>
              <w:bottom w:val="single" w:sz="4" w:space="0" w:color="000000"/>
              <w:right w:val="single" w:sz="4" w:space="0" w:color="auto"/>
            </w:tcBorders>
            <w:vAlign w:val="center"/>
            <w:hideMark/>
          </w:tcPr>
          <w:p w14:paraId="592EE206" w14:textId="77777777" w:rsidR="007A411C" w:rsidRDefault="007A411C">
            <w:pPr>
              <w:rPr>
                <w:rFonts w:ascii="Calibri" w:hAnsi="Calibri" w:cs="Calibri"/>
                <w:b/>
                <w:bCs/>
                <w:color w:val="000000"/>
                <w:sz w:val="22"/>
                <w:szCs w:val="22"/>
              </w:rPr>
            </w:pPr>
          </w:p>
        </w:tc>
        <w:tc>
          <w:tcPr>
            <w:tcW w:w="3080" w:type="dxa"/>
            <w:gridSpan w:val="2"/>
            <w:tcBorders>
              <w:top w:val="nil"/>
              <w:left w:val="nil"/>
              <w:bottom w:val="single" w:sz="4" w:space="0" w:color="auto"/>
              <w:right w:val="single" w:sz="4" w:space="0" w:color="auto"/>
            </w:tcBorders>
            <w:noWrap/>
            <w:vAlign w:val="bottom"/>
            <w:hideMark/>
          </w:tcPr>
          <w:p w14:paraId="76A1E9C0" w14:textId="77777777" w:rsidR="007A411C" w:rsidRDefault="007A411C">
            <w:pPr>
              <w:rPr>
                <w:rFonts w:ascii="Calibri" w:hAnsi="Calibri" w:cs="Calibri"/>
                <w:color w:val="000000"/>
              </w:rPr>
            </w:pPr>
            <w:r>
              <w:rPr>
                <w:rFonts w:ascii="Calibri" w:hAnsi="Calibri" w:cs="Calibri"/>
                <w:color w:val="000000"/>
              </w:rPr>
              <w:t>Maximum Bldg. Height</w:t>
            </w:r>
          </w:p>
        </w:tc>
        <w:tc>
          <w:tcPr>
            <w:tcW w:w="825" w:type="dxa"/>
            <w:tcBorders>
              <w:top w:val="nil"/>
              <w:left w:val="nil"/>
              <w:bottom w:val="single" w:sz="4" w:space="0" w:color="auto"/>
              <w:right w:val="single" w:sz="4" w:space="0" w:color="auto"/>
            </w:tcBorders>
            <w:noWrap/>
            <w:vAlign w:val="bottom"/>
            <w:hideMark/>
          </w:tcPr>
          <w:p w14:paraId="3C916855" w14:textId="77777777" w:rsidR="007A411C" w:rsidRDefault="007A411C">
            <w:pPr>
              <w:jc w:val="right"/>
              <w:rPr>
                <w:rFonts w:ascii="Calibri" w:hAnsi="Calibri" w:cs="Calibri"/>
                <w:color w:val="000000"/>
              </w:rPr>
            </w:pPr>
            <w:r>
              <w:rPr>
                <w:rFonts w:ascii="Calibri" w:hAnsi="Calibri" w:cs="Calibri"/>
                <w:color w:val="000000"/>
              </w:rPr>
              <w:t>72</w:t>
            </w:r>
          </w:p>
        </w:tc>
      </w:tr>
    </w:tbl>
    <w:p w14:paraId="3C633047" w14:textId="77777777" w:rsidR="007A411C" w:rsidRDefault="007A411C" w:rsidP="007A411C">
      <w:pPr>
        <w:pStyle w:val="ListParagraph"/>
        <w:rPr>
          <w:rFonts w:asciiTheme="minorHAnsi" w:eastAsiaTheme="minorHAnsi" w:hAnsiTheme="minorHAnsi" w:cstheme="minorBidi"/>
          <w:i/>
          <w:iCs/>
          <w:kern w:val="2"/>
          <w:sz w:val="22"/>
          <w:szCs w:val="22"/>
          <w:u w:val="single"/>
          <w14:ligatures w14:val="standardContextual"/>
        </w:rPr>
      </w:pPr>
      <w:r>
        <w:rPr>
          <w:rFonts w:ascii="Calibri" w:hAnsi="Calibri" w:cs="Calibri"/>
          <w:color w:val="000000"/>
          <w:vertAlign w:val="superscript"/>
        </w:rPr>
        <w:t xml:space="preserve">1 </w:t>
      </w:r>
      <w:r>
        <w:rPr>
          <w:rFonts w:ascii="Calibri" w:hAnsi="Calibri" w:cs="Calibri"/>
          <w:color w:val="000000"/>
        </w:rPr>
        <w:t xml:space="preserve">Accessory </w:t>
      </w:r>
      <w:proofErr w:type="gramStart"/>
      <w:r>
        <w:rPr>
          <w:rFonts w:ascii="Calibri" w:hAnsi="Calibri" w:cs="Calibri"/>
          <w:color w:val="000000"/>
        </w:rPr>
        <w:t>structures</w:t>
      </w:r>
      <w:proofErr w:type="gramEnd"/>
      <w:r>
        <w:rPr>
          <w:rFonts w:ascii="Calibri" w:hAnsi="Calibri" w:cs="Calibri"/>
          <w:color w:val="000000"/>
        </w:rPr>
        <w:t xml:space="preserve"> including pools may encroach up to 10’ into the rear yard setback. </w:t>
      </w:r>
    </w:p>
    <w:p w14:paraId="443FFB45" w14:textId="77777777" w:rsidR="007A411C" w:rsidRDefault="007A411C" w:rsidP="007A411C">
      <w:pPr>
        <w:rPr>
          <w:i/>
          <w:iCs/>
          <w:u w:val="single"/>
        </w:rPr>
      </w:pPr>
    </w:p>
    <w:p w14:paraId="659759FC" w14:textId="77777777" w:rsidR="007A411C" w:rsidRDefault="007A411C" w:rsidP="007A411C">
      <w:pPr>
        <w:pStyle w:val="ListParagraph"/>
        <w:ind w:left="360"/>
        <w:rPr>
          <w:b/>
          <w:bCs/>
          <w:i/>
          <w:iCs/>
        </w:rPr>
      </w:pPr>
      <w:r>
        <w:rPr>
          <w:b/>
          <w:bCs/>
          <w:i/>
          <w:iCs/>
        </w:rPr>
        <w:t xml:space="preserve">3.3.2 Supplemental Development Standards </w:t>
      </w:r>
    </w:p>
    <w:p w14:paraId="69DA74AA" w14:textId="77777777" w:rsidR="007A411C" w:rsidRDefault="007A411C" w:rsidP="007A411C">
      <w:pPr>
        <w:pStyle w:val="ListParagraph"/>
        <w:numPr>
          <w:ilvl w:val="1"/>
          <w:numId w:val="32"/>
        </w:numPr>
        <w:autoSpaceDE/>
        <w:autoSpaceDN/>
        <w:adjustRightInd/>
        <w:spacing w:after="160" w:line="256" w:lineRule="auto"/>
        <w:rPr>
          <w:color w:val="000000" w:themeColor="text1"/>
        </w:rPr>
      </w:pPr>
      <w:r>
        <w:rPr>
          <w:i/>
          <w:iCs/>
          <w:color w:val="000000" w:themeColor="text1"/>
        </w:rPr>
        <w:t>Mixture of residential housing types</w:t>
      </w:r>
    </w:p>
    <w:p w14:paraId="7CBA9B42" w14:textId="77777777" w:rsidR="007A411C" w:rsidRDefault="007A411C" w:rsidP="007A411C">
      <w:pPr>
        <w:pStyle w:val="ListParagraph"/>
        <w:numPr>
          <w:ilvl w:val="2"/>
          <w:numId w:val="32"/>
        </w:numPr>
        <w:autoSpaceDE/>
        <w:autoSpaceDN/>
        <w:adjustRightInd/>
        <w:spacing w:after="160" w:line="256" w:lineRule="auto"/>
        <w:rPr>
          <w:color w:val="000000" w:themeColor="text1"/>
        </w:rPr>
      </w:pPr>
      <w:r>
        <w:rPr>
          <w:color w:val="000000" w:themeColor="text1"/>
        </w:rPr>
        <w:t xml:space="preserve">Residential development within the Residential Land Use Areas as depicted in the Preliminary Development Plan shall be developed such that each Phase of development as depicted in the Preliminary Development Plan shall include a mixture of 2 or more </w:t>
      </w:r>
      <w:r>
        <w:rPr>
          <w:color w:val="000000" w:themeColor="text1"/>
        </w:rPr>
        <w:lastRenderedPageBreak/>
        <w:t xml:space="preserve">residential </w:t>
      </w:r>
      <w:proofErr w:type="gramStart"/>
      <w:r>
        <w:rPr>
          <w:color w:val="000000" w:themeColor="text1"/>
        </w:rPr>
        <w:t>lots</w:t>
      </w:r>
      <w:proofErr w:type="gramEnd"/>
      <w:r>
        <w:rPr>
          <w:color w:val="000000" w:themeColor="text1"/>
        </w:rPr>
        <w:t xml:space="preserve"> types as described in Table 3 with varying lot widths and depths that preclude a cookie-cutter look to such large-scale residential development.</w:t>
      </w:r>
    </w:p>
    <w:p w14:paraId="1DE33CB2" w14:textId="77777777" w:rsidR="007A411C" w:rsidRDefault="007A411C" w:rsidP="007A411C">
      <w:pPr>
        <w:pStyle w:val="ListParagraph"/>
        <w:numPr>
          <w:ilvl w:val="1"/>
          <w:numId w:val="32"/>
        </w:numPr>
        <w:autoSpaceDE/>
        <w:autoSpaceDN/>
        <w:adjustRightInd/>
        <w:spacing w:after="160" w:line="256" w:lineRule="auto"/>
        <w:rPr>
          <w:color w:val="000000" w:themeColor="text1"/>
        </w:rPr>
      </w:pPr>
      <w:r>
        <w:rPr>
          <w:i/>
          <w:iCs/>
          <w:color w:val="000000" w:themeColor="text1"/>
        </w:rPr>
        <w:t>Maximum building heights (all development types)</w:t>
      </w:r>
      <w:r>
        <w:rPr>
          <w:color w:val="000000" w:themeColor="text1"/>
        </w:rPr>
        <w:t>.</w:t>
      </w:r>
    </w:p>
    <w:p w14:paraId="319C4D1C" w14:textId="77777777" w:rsidR="007A411C" w:rsidRDefault="007A411C" w:rsidP="007A411C">
      <w:pPr>
        <w:pStyle w:val="ListParagraph"/>
        <w:numPr>
          <w:ilvl w:val="2"/>
          <w:numId w:val="32"/>
        </w:numPr>
        <w:autoSpaceDE/>
        <w:autoSpaceDN/>
        <w:adjustRightInd/>
        <w:spacing w:after="160" w:line="256" w:lineRule="auto"/>
      </w:pPr>
      <w:r>
        <w:t xml:space="preserve">Shall be in accordance with the Development Standards Table hereinabove. </w:t>
      </w:r>
      <w:proofErr w:type="gramStart"/>
      <w:r>
        <w:t>with the exception of</w:t>
      </w:r>
      <w:proofErr w:type="gramEnd"/>
      <w:r>
        <w:t xml:space="preserve"> Institutional buildings, building heights shall not exceed one-third of the width of the right-of-way providing access to the property or generally located along the front façade of the building.</w:t>
      </w:r>
    </w:p>
    <w:p w14:paraId="5446F9D8" w14:textId="77777777" w:rsidR="007A411C" w:rsidRDefault="007A411C" w:rsidP="007A411C">
      <w:pPr>
        <w:pStyle w:val="ListParagraph"/>
        <w:numPr>
          <w:ilvl w:val="2"/>
          <w:numId w:val="32"/>
        </w:numPr>
        <w:autoSpaceDE/>
        <w:autoSpaceDN/>
        <w:adjustRightInd/>
        <w:spacing w:after="160" w:line="256" w:lineRule="auto"/>
      </w:pPr>
      <w:r>
        <w:t>Appurtenances (i.e. parapet walls, screening walls) to those buildings shall not exceed one-quarter of the proposed height of the building.</w:t>
      </w:r>
    </w:p>
    <w:p w14:paraId="41EBC908" w14:textId="77777777" w:rsidR="007A411C" w:rsidRDefault="007A411C" w:rsidP="007A411C">
      <w:pPr>
        <w:pStyle w:val="ListParagraph"/>
        <w:numPr>
          <w:ilvl w:val="2"/>
          <w:numId w:val="32"/>
        </w:numPr>
        <w:autoSpaceDE/>
        <w:autoSpaceDN/>
        <w:adjustRightInd/>
        <w:spacing w:after="160" w:line="256" w:lineRule="auto"/>
      </w:pPr>
      <w:r>
        <w:t>Exceptions as provided in Section 4.2, entitled “Supplement regulations” of the Land Development Regulations.</w:t>
      </w:r>
    </w:p>
    <w:p w14:paraId="0D8C1186" w14:textId="77777777" w:rsidR="007A411C" w:rsidRDefault="007A411C" w:rsidP="007A411C">
      <w:pPr>
        <w:pStyle w:val="ListParagraph"/>
        <w:numPr>
          <w:ilvl w:val="1"/>
          <w:numId w:val="32"/>
        </w:numPr>
        <w:autoSpaceDE/>
        <w:autoSpaceDN/>
        <w:adjustRightInd/>
        <w:spacing w:after="160" w:line="256" w:lineRule="auto"/>
      </w:pPr>
      <w:r>
        <w:rPr>
          <w:i/>
          <w:iCs/>
        </w:rPr>
        <w:t>Residential garages.</w:t>
      </w:r>
    </w:p>
    <w:p w14:paraId="5188FE72" w14:textId="77777777" w:rsidR="007A411C" w:rsidRDefault="007A411C" w:rsidP="007A411C">
      <w:pPr>
        <w:pStyle w:val="ListParagraph"/>
        <w:numPr>
          <w:ilvl w:val="2"/>
          <w:numId w:val="32"/>
        </w:numPr>
        <w:autoSpaceDE/>
        <w:autoSpaceDN/>
        <w:adjustRightInd/>
        <w:spacing w:after="160" w:line="256" w:lineRule="auto"/>
      </w:pPr>
      <w:r>
        <w:t>Residential garages shall have a minimum front yard setback of 20 feet, except that the Urban Detached SFR (cottage type) residential lot shall have a minimum front yard setback of 8.5 feet.</w:t>
      </w:r>
    </w:p>
    <w:p w14:paraId="0F96412C" w14:textId="77777777" w:rsidR="007A411C" w:rsidRDefault="007A411C" w:rsidP="007A411C">
      <w:pPr>
        <w:pStyle w:val="ListParagraph"/>
        <w:numPr>
          <w:ilvl w:val="2"/>
          <w:numId w:val="32"/>
        </w:numPr>
        <w:autoSpaceDE/>
        <w:autoSpaceDN/>
        <w:adjustRightInd/>
        <w:spacing w:after="160" w:line="256" w:lineRule="auto"/>
      </w:pPr>
      <w:r>
        <w:t>Residential garages, whether attached or detached, shall not exceed 40% of the floor area of the principal buildings or one parking stall in the garage.</w:t>
      </w:r>
    </w:p>
    <w:p w14:paraId="124EDBBA" w14:textId="77777777" w:rsidR="007A411C" w:rsidRDefault="007A411C" w:rsidP="007A411C">
      <w:pPr>
        <w:pStyle w:val="ListParagraph"/>
        <w:numPr>
          <w:ilvl w:val="2"/>
          <w:numId w:val="32"/>
        </w:numPr>
        <w:autoSpaceDE/>
        <w:autoSpaceDN/>
        <w:adjustRightInd/>
        <w:spacing w:after="160" w:line="256" w:lineRule="auto"/>
      </w:pPr>
      <w:r>
        <w:t>Storage area separate from the garage shall not count towards garage area.</w:t>
      </w:r>
    </w:p>
    <w:p w14:paraId="76501E85" w14:textId="77777777" w:rsidR="007A411C" w:rsidRDefault="007A411C" w:rsidP="007A411C">
      <w:pPr>
        <w:pStyle w:val="ListParagraph"/>
        <w:numPr>
          <w:ilvl w:val="2"/>
          <w:numId w:val="32"/>
        </w:numPr>
        <w:autoSpaceDE/>
        <w:autoSpaceDN/>
        <w:adjustRightInd/>
        <w:spacing w:after="160" w:line="256" w:lineRule="auto"/>
      </w:pPr>
      <w:r>
        <w:t>Carports shall not count towards garage area.</w:t>
      </w:r>
    </w:p>
    <w:p w14:paraId="7AAFDE1B" w14:textId="77777777" w:rsidR="007A411C" w:rsidRDefault="007A411C" w:rsidP="007A411C">
      <w:pPr>
        <w:pStyle w:val="ListParagraph"/>
        <w:numPr>
          <w:ilvl w:val="2"/>
          <w:numId w:val="32"/>
        </w:numPr>
        <w:autoSpaceDE/>
        <w:autoSpaceDN/>
        <w:adjustRightInd/>
        <w:spacing w:after="160" w:line="256" w:lineRule="auto"/>
      </w:pPr>
      <w:r>
        <w:t>Side entrance residential garages shall be setback at least 5’ from the side property lot line.</w:t>
      </w:r>
    </w:p>
    <w:p w14:paraId="47E8B382" w14:textId="77777777" w:rsidR="007A411C" w:rsidRDefault="007A411C" w:rsidP="007A411C">
      <w:pPr>
        <w:pStyle w:val="ListParagraph"/>
        <w:numPr>
          <w:ilvl w:val="1"/>
          <w:numId w:val="32"/>
        </w:numPr>
        <w:autoSpaceDE/>
        <w:autoSpaceDN/>
        <w:adjustRightInd/>
        <w:spacing w:after="160" w:line="256" w:lineRule="auto"/>
      </w:pPr>
      <w:r>
        <w:rPr>
          <w:i/>
          <w:iCs/>
        </w:rPr>
        <w:t>Attached single-family.</w:t>
      </w:r>
    </w:p>
    <w:p w14:paraId="453B6C40" w14:textId="77777777" w:rsidR="007A411C" w:rsidRDefault="007A411C" w:rsidP="007A411C">
      <w:pPr>
        <w:pStyle w:val="ListParagraph"/>
        <w:numPr>
          <w:ilvl w:val="2"/>
          <w:numId w:val="32"/>
        </w:numPr>
        <w:autoSpaceDE/>
        <w:autoSpaceDN/>
        <w:adjustRightInd/>
        <w:spacing w:after="160" w:line="256" w:lineRule="auto"/>
      </w:pPr>
      <w:r>
        <w:t>Town house buildings shall not exceed 6 dwelling units per building.</w:t>
      </w:r>
    </w:p>
    <w:p w14:paraId="13B4ADEB" w14:textId="77777777" w:rsidR="007A411C" w:rsidRDefault="007A411C" w:rsidP="007A411C">
      <w:pPr>
        <w:pStyle w:val="ListParagraph"/>
        <w:numPr>
          <w:ilvl w:val="2"/>
          <w:numId w:val="32"/>
        </w:numPr>
        <w:autoSpaceDE/>
        <w:autoSpaceDN/>
        <w:adjustRightInd/>
        <w:spacing w:after="160" w:line="256" w:lineRule="auto"/>
      </w:pPr>
      <w:r>
        <w:t>Required guest parking stalls may be located on-street directly abutting the perimeter property of the building which they serve.</w:t>
      </w:r>
    </w:p>
    <w:p w14:paraId="1580BB9C" w14:textId="77777777" w:rsidR="007A411C" w:rsidRDefault="007A411C" w:rsidP="007A411C">
      <w:pPr>
        <w:pStyle w:val="ListParagraph"/>
        <w:numPr>
          <w:ilvl w:val="1"/>
          <w:numId w:val="32"/>
        </w:numPr>
        <w:autoSpaceDE/>
        <w:autoSpaceDN/>
        <w:adjustRightInd/>
        <w:spacing w:after="160" w:line="256" w:lineRule="auto"/>
      </w:pPr>
      <w:r>
        <w:rPr>
          <w:i/>
          <w:iCs/>
        </w:rPr>
        <w:t>Lot Coverage</w:t>
      </w:r>
      <w:r>
        <w:t>.</w:t>
      </w:r>
    </w:p>
    <w:p w14:paraId="06A9FBBC" w14:textId="77777777" w:rsidR="007A411C" w:rsidRDefault="007A411C" w:rsidP="007A411C">
      <w:pPr>
        <w:pStyle w:val="ListParagraph"/>
        <w:numPr>
          <w:ilvl w:val="2"/>
          <w:numId w:val="32"/>
        </w:numPr>
        <w:autoSpaceDE/>
        <w:autoSpaceDN/>
        <w:adjustRightInd/>
        <w:spacing w:after="160" w:line="256" w:lineRule="auto"/>
      </w:pPr>
      <w:r>
        <w:t xml:space="preserve">Nonresidential development shall have no maximum lot coverage. </w:t>
      </w:r>
    </w:p>
    <w:p w14:paraId="422B0748" w14:textId="77777777" w:rsidR="007A411C" w:rsidRDefault="007A411C" w:rsidP="007A411C">
      <w:pPr>
        <w:pStyle w:val="ListParagraph"/>
        <w:numPr>
          <w:ilvl w:val="2"/>
          <w:numId w:val="32"/>
        </w:numPr>
        <w:autoSpaceDE/>
        <w:autoSpaceDN/>
        <w:adjustRightInd/>
        <w:spacing w:after="160" w:line="256" w:lineRule="auto"/>
      </w:pPr>
      <w:r>
        <w:t xml:space="preserve">Nonresidential development shall have a maximum of 2.0 floor area ratio. </w:t>
      </w:r>
    </w:p>
    <w:p w14:paraId="07C3208A" w14:textId="77777777" w:rsidR="007A411C" w:rsidRDefault="007A411C" w:rsidP="007A411C">
      <w:pPr>
        <w:pStyle w:val="ListParagraph"/>
        <w:numPr>
          <w:ilvl w:val="2"/>
          <w:numId w:val="32"/>
        </w:numPr>
        <w:autoSpaceDE/>
        <w:autoSpaceDN/>
        <w:adjustRightInd/>
        <w:spacing w:after="160" w:line="256" w:lineRule="auto"/>
      </w:pPr>
      <w:r>
        <w:t>Residential lots shall not exceed 40 lot coverage, except that the Urban Detached SFR (cottage type) residential lot shall not exceed 60% lot coverage.</w:t>
      </w:r>
    </w:p>
    <w:p w14:paraId="63C3F744" w14:textId="77777777" w:rsidR="007A411C" w:rsidRDefault="007A411C" w:rsidP="007A411C">
      <w:pPr>
        <w:pStyle w:val="ListParagraph"/>
        <w:numPr>
          <w:ilvl w:val="2"/>
          <w:numId w:val="32"/>
        </w:numPr>
        <w:autoSpaceDE/>
        <w:autoSpaceDN/>
        <w:adjustRightInd/>
        <w:spacing w:after="160" w:line="256" w:lineRule="auto"/>
      </w:pPr>
      <w:r>
        <w:t>Residential vertical appurtenances shall not exceed 35% lot coverage.</w:t>
      </w:r>
    </w:p>
    <w:p w14:paraId="6FF1E130" w14:textId="77777777" w:rsidR="007A411C" w:rsidRDefault="007A411C" w:rsidP="007A411C">
      <w:pPr>
        <w:pStyle w:val="ListParagraph"/>
        <w:numPr>
          <w:ilvl w:val="1"/>
          <w:numId w:val="32"/>
        </w:numPr>
        <w:autoSpaceDE/>
        <w:autoSpaceDN/>
        <w:adjustRightInd/>
        <w:spacing w:after="160" w:line="256" w:lineRule="auto"/>
      </w:pPr>
      <w:r>
        <w:rPr>
          <w:i/>
          <w:iCs/>
        </w:rPr>
        <w:t>Design</w:t>
      </w:r>
      <w:r>
        <w:t>. The following standards and regulations apply:</w:t>
      </w:r>
    </w:p>
    <w:p w14:paraId="2D58E773" w14:textId="77777777" w:rsidR="007A411C" w:rsidRDefault="007A411C" w:rsidP="007A411C">
      <w:pPr>
        <w:pStyle w:val="ListParagraph"/>
        <w:numPr>
          <w:ilvl w:val="2"/>
          <w:numId w:val="33"/>
        </w:numPr>
        <w:autoSpaceDE/>
        <w:autoSpaceDN/>
        <w:adjustRightInd/>
        <w:spacing w:after="160" w:line="256" w:lineRule="auto"/>
      </w:pPr>
      <w:r>
        <w:t>Preliminary elevations of all proposed structures drawn to scale (i.e. building heights, materials, fenestrations, colors compatible with the general appearance of existing and proposed structures) shall be submitted as part of the construction plans.</w:t>
      </w:r>
    </w:p>
    <w:p w14:paraId="46B3E7BD" w14:textId="77777777" w:rsidR="007A411C" w:rsidRDefault="007A411C" w:rsidP="007A411C">
      <w:pPr>
        <w:pStyle w:val="ListParagraph"/>
        <w:numPr>
          <w:ilvl w:val="2"/>
          <w:numId w:val="33"/>
        </w:numPr>
        <w:autoSpaceDE/>
        <w:autoSpaceDN/>
        <w:adjustRightInd/>
        <w:spacing w:after="160" w:line="256" w:lineRule="auto"/>
        <w:rPr>
          <w:color w:val="000000" w:themeColor="text1"/>
        </w:rPr>
      </w:pPr>
      <w:r>
        <w:rPr>
          <w:color w:val="000000" w:themeColor="text1"/>
        </w:rPr>
        <w:t>Detached single-family homes shall not be repeated more than three (3) times in a direct alignment, without façade modifications, such as but not limited to: porches, roof gables or hips, shutters, and other architectural elements.  In addition, each building permit within a particular phase shall be accompanied by a site plan key diagram identifying each lot with models selected for construction to adequately demonstrate this condition has been satisfied.</w:t>
      </w:r>
    </w:p>
    <w:p w14:paraId="7ECE2A01" w14:textId="77777777" w:rsidR="007A411C" w:rsidRDefault="007A411C" w:rsidP="007A411C">
      <w:pPr>
        <w:pStyle w:val="ListParagraph"/>
        <w:numPr>
          <w:ilvl w:val="1"/>
          <w:numId w:val="32"/>
        </w:numPr>
        <w:autoSpaceDE/>
        <w:autoSpaceDN/>
        <w:adjustRightInd/>
        <w:spacing w:after="160" w:line="256" w:lineRule="auto"/>
      </w:pPr>
      <w:r>
        <w:rPr>
          <w:i/>
          <w:iCs/>
        </w:rPr>
        <w:t>Landscaping</w:t>
      </w:r>
      <w:r>
        <w:t>. The following standards and regulations apply:</w:t>
      </w:r>
    </w:p>
    <w:p w14:paraId="462E5B3A" w14:textId="77777777" w:rsidR="007A411C" w:rsidRDefault="007A411C" w:rsidP="007A411C">
      <w:pPr>
        <w:pStyle w:val="ListParagraph"/>
        <w:numPr>
          <w:ilvl w:val="2"/>
          <w:numId w:val="32"/>
        </w:numPr>
        <w:autoSpaceDE/>
        <w:autoSpaceDN/>
        <w:adjustRightInd/>
        <w:spacing w:after="160" w:line="256" w:lineRule="auto"/>
      </w:pPr>
      <w:r>
        <w:t>Landscaping shall be installed along the perimeter of stormwater management areas.</w:t>
      </w:r>
    </w:p>
    <w:p w14:paraId="7B6EAB70" w14:textId="77777777" w:rsidR="007A411C" w:rsidRDefault="007A411C" w:rsidP="007A411C">
      <w:pPr>
        <w:pStyle w:val="ListParagraph"/>
        <w:numPr>
          <w:ilvl w:val="2"/>
          <w:numId w:val="32"/>
        </w:numPr>
        <w:autoSpaceDE/>
        <w:autoSpaceDN/>
        <w:adjustRightInd/>
        <w:spacing w:after="160" w:line="256" w:lineRule="auto"/>
      </w:pPr>
      <w:r>
        <w:t xml:space="preserve">A landscape plan shall be submitted as part of the Final Development Plan application, incorporating landscape features into parking areas and around buildings. </w:t>
      </w:r>
    </w:p>
    <w:p w14:paraId="5FB3F30D" w14:textId="77777777" w:rsidR="007A411C" w:rsidRDefault="007A411C" w:rsidP="007A411C">
      <w:pPr>
        <w:pStyle w:val="ListParagraph"/>
        <w:numPr>
          <w:ilvl w:val="2"/>
          <w:numId w:val="32"/>
        </w:numPr>
        <w:autoSpaceDE/>
        <w:autoSpaceDN/>
        <w:adjustRightInd/>
        <w:spacing w:after="160" w:line="256" w:lineRule="auto"/>
      </w:pPr>
      <w:r>
        <w:t>The use of native plants and non-invasive existing vegetation in all landscaping is encouraged throughout the PD.</w:t>
      </w:r>
    </w:p>
    <w:p w14:paraId="1580343C" w14:textId="77777777" w:rsidR="007A411C" w:rsidRDefault="007A411C" w:rsidP="007A411C">
      <w:pPr>
        <w:pStyle w:val="ListParagraph"/>
        <w:numPr>
          <w:ilvl w:val="2"/>
          <w:numId w:val="32"/>
        </w:numPr>
        <w:autoSpaceDE/>
        <w:autoSpaceDN/>
        <w:adjustRightInd/>
        <w:spacing w:after="160" w:line="256" w:lineRule="auto"/>
      </w:pPr>
      <w:r>
        <w:t>Landscaping shall be maintained, and in the event of disease or damage, landscaping shall be replaced with similar approved plantings by the homeowners’ association or their heirs, successors, or assigns.</w:t>
      </w:r>
    </w:p>
    <w:p w14:paraId="72609498" w14:textId="77777777" w:rsidR="007A411C" w:rsidRDefault="007A411C" w:rsidP="007A411C">
      <w:pPr>
        <w:pStyle w:val="ListParagraph"/>
        <w:numPr>
          <w:ilvl w:val="2"/>
          <w:numId w:val="32"/>
        </w:numPr>
        <w:autoSpaceDE/>
        <w:autoSpaceDN/>
        <w:adjustRightInd/>
        <w:spacing w:after="160" w:line="256" w:lineRule="auto"/>
      </w:pPr>
      <w:r>
        <w:t>Irrigation of landscaping shall be per Alachua County Code, to the extent it applies in the City of Newberry.</w:t>
      </w:r>
    </w:p>
    <w:p w14:paraId="7E319143" w14:textId="77777777" w:rsidR="007A411C" w:rsidRDefault="007A411C" w:rsidP="007A411C">
      <w:pPr>
        <w:pStyle w:val="ListParagraph"/>
        <w:numPr>
          <w:ilvl w:val="1"/>
          <w:numId w:val="32"/>
        </w:numPr>
        <w:spacing w:after="160"/>
      </w:pPr>
      <w:r>
        <w:rPr>
          <w:i/>
          <w:iCs/>
        </w:rPr>
        <w:lastRenderedPageBreak/>
        <w:t>Lighting</w:t>
      </w:r>
      <w:r>
        <w:t xml:space="preserve">. All lighting fixtures and bulbs within the PD shall be “Dark-Sky Friendly” and, to the greatest extent permittable by the Florida Department of Transportation, those lighting fixtures which are or may be required to be installed within the Northwest 46 Avenue and/or the US27/US41/SR45 rights-of-way. For the purposes of this Development Order, “Dark-Sky Friendly” shall mean the light source is shielded to prevent glare and the bulb/diodes produce light measuring 3000 Kelvin or warmer. Any deviation(s) from this standard that is proposed for security purposes including banks and automated teller locations or medical/life safety purposes shall be noted at the time of Final Development Plan review along with a statement explaining the purpose of and reason for the deviation(s). The planning director or his/her/they </w:t>
      </w:r>
      <w:proofErr w:type="gramStart"/>
      <w:r>
        <w:t>designee</w:t>
      </w:r>
      <w:proofErr w:type="gramEnd"/>
      <w:r>
        <w:t xml:space="preserve"> shall make </w:t>
      </w:r>
      <w:proofErr w:type="spellStart"/>
      <w:proofErr w:type="gramStart"/>
      <w:r>
        <w:t>a</w:t>
      </w:r>
      <w:proofErr w:type="spellEnd"/>
      <w:proofErr w:type="gramEnd"/>
      <w:r>
        <w:t xml:space="preserve"> administrative determination whether to accept such deviation(s). </w:t>
      </w:r>
    </w:p>
    <w:p w14:paraId="4E9EB5E5" w14:textId="77777777" w:rsidR="007A411C" w:rsidRDefault="007A411C" w:rsidP="007A411C">
      <w:pPr>
        <w:pStyle w:val="ListParagraph"/>
        <w:numPr>
          <w:ilvl w:val="1"/>
          <w:numId w:val="32"/>
        </w:numPr>
        <w:autoSpaceDE/>
        <w:autoSpaceDN/>
        <w:adjustRightInd/>
        <w:spacing w:after="160" w:line="256" w:lineRule="auto"/>
        <w:rPr>
          <w:i/>
          <w:iCs/>
          <w:u w:val="single"/>
        </w:rPr>
      </w:pPr>
      <w:r>
        <w:rPr>
          <w:i/>
          <w:iCs/>
        </w:rPr>
        <w:t>Minimum parking requirements</w:t>
      </w:r>
      <w:r>
        <w:rPr>
          <w:i/>
          <w:iCs/>
          <w:u w:val="single"/>
        </w:rPr>
        <w:t>:</w:t>
      </w:r>
    </w:p>
    <w:p w14:paraId="39B4E417" w14:textId="77777777" w:rsidR="007A411C" w:rsidRDefault="007A411C" w:rsidP="007A411C">
      <w:pPr>
        <w:pStyle w:val="ListParagraph"/>
        <w:numPr>
          <w:ilvl w:val="0"/>
          <w:numId w:val="34"/>
        </w:numPr>
        <w:autoSpaceDE/>
        <w:autoSpaceDN/>
        <w:adjustRightInd/>
        <w:spacing w:after="160" w:line="256" w:lineRule="auto"/>
        <w:ind w:hanging="180"/>
      </w:pPr>
      <w:r>
        <w:t>Two (2) off-street parking stalls per detached single-family dwelling unit.</w:t>
      </w:r>
    </w:p>
    <w:p w14:paraId="6B9F0E49" w14:textId="77777777" w:rsidR="007A411C" w:rsidRDefault="007A411C" w:rsidP="007A411C">
      <w:pPr>
        <w:pStyle w:val="ListParagraph"/>
        <w:numPr>
          <w:ilvl w:val="0"/>
          <w:numId w:val="34"/>
        </w:numPr>
        <w:autoSpaceDE/>
        <w:autoSpaceDN/>
        <w:adjustRightInd/>
        <w:spacing w:after="160" w:line="256" w:lineRule="auto"/>
        <w:ind w:hanging="180"/>
      </w:pPr>
      <w:r>
        <w:t>Two (2) off-street parking stalls per attached single-family dwelling unit.</w:t>
      </w:r>
    </w:p>
    <w:p w14:paraId="4FF3EEBF" w14:textId="77777777" w:rsidR="007A411C" w:rsidRDefault="007A411C" w:rsidP="007A411C">
      <w:pPr>
        <w:pStyle w:val="ListParagraph"/>
        <w:numPr>
          <w:ilvl w:val="0"/>
          <w:numId w:val="34"/>
        </w:numPr>
        <w:autoSpaceDE/>
        <w:autoSpaceDN/>
        <w:adjustRightInd/>
        <w:spacing w:after="160" w:line="256" w:lineRule="auto"/>
        <w:ind w:hanging="180"/>
      </w:pPr>
      <w:r>
        <w:t>One (1) parking stall per multifamily dwelling unit.</w:t>
      </w:r>
    </w:p>
    <w:p w14:paraId="5C1AE256" w14:textId="77777777" w:rsidR="007A411C" w:rsidRDefault="007A411C" w:rsidP="007A411C">
      <w:pPr>
        <w:pStyle w:val="ListParagraph"/>
        <w:numPr>
          <w:ilvl w:val="0"/>
          <w:numId w:val="34"/>
        </w:numPr>
        <w:autoSpaceDE/>
        <w:autoSpaceDN/>
        <w:adjustRightInd/>
        <w:spacing w:after="160" w:line="256" w:lineRule="auto"/>
        <w:ind w:hanging="180"/>
      </w:pPr>
      <w:r>
        <w:t>One (1) guest parking stall per five (5) detached single-family dwelling unit or ten (10) multifamily dwelling units.</w:t>
      </w:r>
    </w:p>
    <w:p w14:paraId="0E69EBFD" w14:textId="77777777" w:rsidR="007A411C" w:rsidRDefault="007A411C" w:rsidP="007A411C">
      <w:pPr>
        <w:pStyle w:val="ListParagraph"/>
        <w:numPr>
          <w:ilvl w:val="0"/>
          <w:numId w:val="34"/>
        </w:numPr>
        <w:autoSpaceDE/>
        <w:autoSpaceDN/>
        <w:adjustRightInd/>
        <w:spacing w:after="160" w:line="256" w:lineRule="auto"/>
        <w:ind w:hanging="180"/>
      </w:pPr>
      <w:r>
        <w:t>Minimum parking standards for omitted uses shall default to those equivalencies established in the Land Development Regulations.</w:t>
      </w:r>
    </w:p>
    <w:p w14:paraId="108F0E39" w14:textId="77777777" w:rsidR="007A411C" w:rsidRDefault="007A411C" w:rsidP="007A411C">
      <w:pPr>
        <w:pStyle w:val="ListParagraph"/>
        <w:numPr>
          <w:ilvl w:val="0"/>
          <w:numId w:val="34"/>
        </w:numPr>
        <w:autoSpaceDE/>
        <w:autoSpaceDN/>
        <w:adjustRightInd/>
        <w:spacing w:after="160" w:line="256" w:lineRule="auto"/>
        <w:ind w:hanging="180"/>
      </w:pPr>
      <w:r>
        <w:t>Parking reductions may be allowed at the time of Final Development Plan approval upon a demonstration of specific residential criteria and alternative transportation opportunities.</w:t>
      </w:r>
    </w:p>
    <w:p w14:paraId="5B2154DB" w14:textId="77777777" w:rsidR="007A411C" w:rsidRDefault="007A411C" w:rsidP="007A411C">
      <w:pPr>
        <w:pStyle w:val="ListParagraph"/>
        <w:numPr>
          <w:ilvl w:val="1"/>
          <w:numId w:val="32"/>
        </w:numPr>
        <w:autoSpaceDE/>
        <w:autoSpaceDN/>
        <w:adjustRightInd/>
        <w:spacing w:after="160" w:line="256" w:lineRule="auto"/>
      </w:pPr>
      <w:r>
        <w:rPr>
          <w:i/>
          <w:iCs/>
        </w:rPr>
        <w:t>Supplemental parking requirements</w:t>
      </w:r>
      <w:r>
        <w:t>.</w:t>
      </w:r>
    </w:p>
    <w:p w14:paraId="28C13F95" w14:textId="77777777" w:rsidR="007A411C" w:rsidRDefault="007A411C" w:rsidP="007A411C">
      <w:pPr>
        <w:pStyle w:val="ListParagraph"/>
        <w:numPr>
          <w:ilvl w:val="2"/>
          <w:numId w:val="35"/>
        </w:numPr>
        <w:autoSpaceDE/>
        <w:autoSpaceDN/>
        <w:adjustRightInd/>
        <w:spacing w:after="160" w:line="256" w:lineRule="auto"/>
        <w:ind w:left="2160"/>
      </w:pPr>
      <w:r>
        <w:t>On-street parking on road segments providing access to residential dwelling units may count towards guest parking stall requirements.</w:t>
      </w:r>
    </w:p>
    <w:p w14:paraId="18B111CB" w14:textId="77777777" w:rsidR="007A411C" w:rsidRDefault="007A411C" w:rsidP="007A411C">
      <w:pPr>
        <w:pStyle w:val="ListParagraph"/>
        <w:numPr>
          <w:ilvl w:val="2"/>
          <w:numId w:val="35"/>
        </w:numPr>
        <w:autoSpaceDE/>
        <w:autoSpaceDN/>
        <w:adjustRightInd/>
        <w:spacing w:after="160" w:line="256" w:lineRule="auto"/>
        <w:ind w:left="2160"/>
      </w:pPr>
      <w:r>
        <w:t>On-street parking stall dimensions shall not be less than 8 feet wide by 22 feet long.</w:t>
      </w:r>
    </w:p>
    <w:p w14:paraId="5C046A57" w14:textId="77777777" w:rsidR="007A411C" w:rsidRDefault="007A411C" w:rsidP="007A411C">
      <w:pPr>
        <w:pStyle w:val="ListParagraph"/>
        <w:numPr>
          <w:ilvl w:val="2"/>
          <w:numId w:val="35"/>
        </w:numPr>
        <w:autoSpaceDE/>
        <w:autoSpaceDN/>
        <w:adjustRightInd/>
        <w:spacing w:after="160" w:line="256" w:lineRule="auto"/>
        <w:ind w:left="2160"/>
        <w:rPr>
          <w:u w:val="single"/>
        </w:rPr>
      </w:pPr>
      <w:r>
        <w:t>Off-street parking dimensions and any other permitted uses not specified above shall comply with the parking requirements outlined in the City of Newberry Code of Ordinances and Land Development Regulations. Residential parking shall not be permitted to encroach onto sidewalks.</w:t>
      </w:r>
    </w:p>
    <w:p w14:paraId="30708464" w14:textId="77777777" w:rsidR="007A411C" w:rsidRDefault="007A411C" w:rsidP="007A411C">
      <w:pPr>
        <w:pStyle w:val="ListParagraph"/>
        <w:numPr>
          <w:ilvl w:val="2"/>
          <w:numId w:val="35"/>
        </w:numPr>
        <w:autoSpaceDE/>
        <w:autoSpaceDN/>
        <w:adjustRightInd/>
        <w:spacing w:after="160" w:line="256" w:lineRule="auto"/>
        <w:ind w:left="2160"/>
      </w:pPr>
      <w:r>
        <w:t>On-street parking, to the greatest extent possible, shall be evenly distributed along the roadways in the phases in which it is made available. Clustering of on-street parking in a particular phase or the construction of a dedicated guest parking lot is prohibited.</w:t>
      </w:r>
    </w:p>
    <w:p w14:paraId="6793C2AC" w14:textId="77777777" w:rsidR="007A411C" w:rsidRDefault="007A411C" w:rsidP="007A411C">
      <w:pPr>
        <w:pStyle w:val="ListParagraph"/>
        <w:numPr>
          <w:ilvl w:val="2"/>
          <w:numId w:val="35"/>
        </w:numPr>
        <w:autoSpaceDE/>
        <w:autoSpaceDN/>
        <w:adjustRightInd/>
        <w:spacing w:after="160" w:line="256" w:lineRule="auto"/>
        <w:ind w:left="2160"/>
      </w:pPr>
      <w:r>
        <w:t>Off-street parking dimensions and any other permitted uses not specified above shall comply with the parking requirements outlined in the City of Newberry Code of Ordinances and Land Development Regulations.</w:t>
      </w:r>
    </w:p>
    <w:p w14:paraId="2AA0323A" w14:textId="77777777" w:rsidR="007A411C" w:rsidRDefault="007A411C" w:rsidP="007A411C">
      <w:pPr>
        <w:pStyle w:val="ListParagraph"/>
        <w:numPr>
          <w:ilvl w:val="1"/>
          <w:numId w:val="32"/>
        </w:numPr>
        <w:autoSpaceDE/>
        <w:autoSpaceDN/>
        <w:adjustRightInd/>
        <w:spacing w:after="160" w:line="256" w:lineRule="auto"/>
      </w:pPr>
      <w:r>
        <w:rPr>
          <w:i/>
          <w:iCs/>
        </w:rPr>
        <w:t xml:space="preserve">Buffers. </w:t>
      </w:r>
    </w:p>
    <w:p w14:paraId="5EB3AA91" w14:textId="77777777" w:rsidR="007A411C" w:rsidRDefault="007A411C" w:rsidP="007A411C">
      <w:pPr>
        <w:pStyle w:val="ListParagraph"/>
        <w:numPr>
          <w:ilvl w:val="1"/>
          <w:numId w:val="36"/>
        </w:numPr>
        <w:autoSpaceDE/>
        <w:autoSpaceDN/>
        <w:adjustRightInd/>
        <w:spacing w:after="160" w:line="256" w:lineRule="auto"/>
      </w:pPr>
      <w:r>
        <w:t>Along US Highway 27/41 the landscape buffer shall be a minimum of 50’ and shall comply with the requirements of the SR 26 and US Highway 27/41 Gateway Overlay District.</w:t>
      </w:r>
    </w:p>
    <w:p w14:paraId="2DA3722A" w14:textId="77777777" w:rsidR="007A411C" w:rsidRDefault="007A411C" w:rsidP="007A411C">
      <w:pPr>
        <w:pStyle w:val="ListParagraph"/>
        <w:numPr>
          <w:ilvl w:val="1"/>
          <w:numId w:val="36"/>
        </w:numPr>
        <w:autoSpaceDE/>
        <w:autoSpaceDN/>
        <w:adjustRightInd/>
        <w:spacing w:after="160" w:line="256" w:lineRule="auto"/>
      </w:pPr>
      <w:r>
        <w:t>Boundary limit buffers around the remaining property perimeter shall be not less than 25 feet and may be utilized for meeting open space requirements within the development to the extent that they meet the common area/open space definition established in the Land Development Regulations.</w:t>
      </w:r>
    </w:p>
    <w:p w14:paraId="725F87E7" w14:textId="77777777" w:rsidR="007A411C" w:rsidRDefault="007A411C" w:rsidP="007A411C">
      <w:pPr>
        <w:pStyle w:val="ListParagraph"/>
        <w:numPr>
          <w:ilvl w:val="1"/>
          <w:numId w:val="36"/>
        </w:numPr>
        <w:autoSpaceDE/>
        <w:autoSpaceDN/>
        <w:adjustRightInd/>
        <w:spacing w:after="160" w:line="256" w:lineRule="auto"/>
      </w:pPr>
      <w:r>
        <w:t xml:space="preserve">Along the northern property boundary perimeter, residential development shall be required to have larger Estate Detached SFR lots with a minimum lot width of 75’ and a minimum lot depth of 120’. </w:t>
      </w:r>
    </w:p>
    <w:p w14:paraId="55ED902B" w14:textId="77777777" w:rsidR="007A411C" w:rsidRDefault="007A411C" w:rsidP="007A411C">
      <w:pPr>
        <w:pStyle w:val="ListParagraph"/>
        <w:numPr>
          <w:ilvl w:val="1"/>
          <w:numId w:val="36"/>
        </w:numPr>
        <w:autoSpaceDE/>
        <w:autoSpaceDN/>
        <w:adjustRightInd/>
        <w:spacing w:after="160" w:line="256" w:lineRule="auto"/>
      </w:pPr>
      <w:r>
        <w:t>Required buffers may not be encumbered by individual lots or appurtenances thereto.</w:t>
      </w:r>
    </w:p>
    <w:p w14:paraId="17BCE2BD" w14:textId="44533291" w:rsidR="002079E3" w:rsidRDefault="002079E3">
      <w:pPr>
        <w:autoSpaceDE/>
        <w:autoSpaceDN/>
        <w:adjustRightInd/>
        <w:rPr>
          <w:b/>
          <w:bCs/>
        </w:rPr>
      </w:pPr>
      <w:r>
        <w:rPr>
          <w:b/>
          <w:bCs/>
        </w:rPr>
        <w:br w:type="page"/>
      </w:r>
    </w:p>
    <w:p w14:paraId="46C7D093" w14:textId="77777777" w:rsidR="002079E3" w:rsidRDefault="002079E3" w:rsidP="007A411C">
      <w:pPr>
        <w:rPr>
          <w:b/>
          <w:bCs/>
        </w:rPr>
      </w:pPr>
    </w:p>
    <w:p w14:paraId="1AD93B5E" w14:textId="1F944F8F" w:rsidR="007A411C" w:rsidRDefault="007A411C" w:rsidP="007A411C">
      <w:pPr>
        <w:rPr>
          <w:b/>
          <w:bCs/>
        </w:rPr>
      </w:pPr>
      <w:r>
        <w:rPr>
          <w:b/>
          <w:bCs/>
        </w:rPr>
        <w:t>Section 3.4. Phasing.</w:t>
      </w:r>
    </w:p>
    <w:p w14:paraId="1AC74178" w14:textId="77777777" w:rsidR="007A411C" w:rsidRDefault="007A411C" w:rsidP="007A411C">
      <w:r>
        <w:t>The PD may be developed in multiple phases subject to the following conditions.</w:t>
      </w:r>
    </w:p>
    <w:p w14:paraId="69275489" w14:textId="77777777" w:rsidR="007A411C" w:rsidRDefault="007A411C" w:rsidP="007A411C">
      <w:pPr>
        <w:ind w:left="360"/>
        <w:jc w:val="center"/>
      </w:pPr>
      <w:r>
        <w:t>TABLE 4: Phasing Schedule</w:t>
      </w:r>
    </w:p>
    <w:p w14:paraId="24E2F199" w14:textId="15EE53B1" w:rsidR="007A411C" w:rsidRDefault="007A411C" w:rsidP="007A411C">
      <w:pPr>
        <w:pStyle w:val="ListParagraph"/>
      </w:pPr>
      <w:r>
        <w:rPr>
          <w:noProof/>
          <w:sz w:val="24"/>
          <w:szCs w:val="24"/>
        </w:rPr>
        <w:drawing>
          <wp:inline distT="0" distB="0" distL="0" distR="0" wp14:anchorId="3B19D273" wp14:editId="33F6963C">
            <wp:extent cx="5943600" cy="1706880"/>
            <wp:effectExtent l="0" t="0" r="0" b="7620"/>
            <wp:docPr id="798139153" name="Picture 2"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able with numbers and numbe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6880"/>
                    </a:xfrm>
                    <a:prstGeom prst="rect">
                      <a:avLst/>
                    </a:prstGeom>
                    <a:noFill/>
                    <a:ln>
                      <a:noFill/>
                    </a:ln>
                  </pic:spPr>
                </pic:pic>
              </a:graphicData>
            </a:graphic>
          </wp:inline>
        </w:drawing>
      </w:r>
    </w:p>
    <w:p w14:paraId="315B4EA7" w14:textId="77777777" w:rsidR="007A411C" w:rsidRDefault="007A411C" w:rsidP="007A411C">
      <w:pPr>
        <w:pStyle w:val="ListParagraph"/>
        <w:ind w:left="1440"/>
      </w:pPr>
    </w:p>
    <w:p w14:paraId="16E52EDE" w14:textId="77777777" w:rsidR="007A411C" w:rsidRDefault="007A411C" w:rsidP="007A411C">
      <w:pPr>
        <w:pStyle w:val="ListParagraph"/>
        <w:numPr>
          <w:ilvl w:val="1"/>
          <w:numId w:val="37"/>
        </w:numPr>
        <w:autoSpaceDE/>
        <w:autoSpaceDN/>
        <w:adjustRightInd/>
        <w:spacing w:after="160" w:line="256" w:lineRule="auto"/>
      </w:pPr>
      <w:r>
        <w:t xml:space="preserve">Each phase of development within the PD must receive Final Development Plan approval and must demonstrate that adequate on and/or off-site public facilities are available or programmed to serve the PD. </w:t>
      </w:r>
    </w:p>
    <w:p w14:paraId="7143B816" w14:textId="77777777" w:rsidR="007A411C" w:rsidRDefault="007A411C" w:rsidP="007A411C">
      <w:pPr>
        <w:pStyle w:val="ListParagraph"/>
        <w:numPr>
          <w:ilvl w:val="1"/>
          <w:numId w:val="37"/>
        </w:numPr>
        <w:autoSpaceDE/>
        <w:autoSpaceDN/>
        <w:adjustRightInd/>
        <w:spacing w:after="160" w:line="256" w:lineRule="auto"/>
      </w:pPr>
      <w:r>
        <w:t>Each phase shall be inclusive unto itself and shall not rely on another undeveloped phase to meet the standards established herein.</w:t>
      </w:r>
    </w:p>
    <w:p w14:paraId="4DFA2219" w14:textId="77777777" w:rsidR="007A411C" w:rsidRDefault="007A411C" w:rsidP="007A411C">
      <w:pPr>
        <w:pStyle w:val="ListParagraph"/>
        <w:numPr>
          <w:ilvl w:val="1"/>
          <w:numId w:val="37"/>
        </w:numPr>
        <w:autoSpaceDE/>
        <w:autoSpaceDN/>
        <w:adjustRightInd/>
        <w:spacing w:after="160" w:line="256" w:lineRule="auto"/>
      </w:pPr>
      <w:r>
        <w:t xml:space="preserve">The PD will begin the process of construction in a timeframe consistent with Appendix B, Article 4, Section 4.21 of the City of Newberry Code of Ordinances entitled “Planned Developments (PD).” </w:t>
      </w:r>
    </w:p>
    <w:p w14:paraId="0FFAE789" w14:textId="77777777" w:rsidR="007A411C" w:rsidRDefault="007A411C" w:rsidP="007A411C">
      <w:pPr>
        <w:pStyle w:val="ListParagraph"/>
        <w:numPr>
          <w:ilvl w:val="1"/>
          <w:numId w:val="37"/>
        </w:numPr>
        <w:autoSpaceDE/>
        <w:autoSpaceDN/>
        <w:adjustRightInd/>
        <w:spacing w:after="160" w:line="256" w:lineRule="auto"/>
      </w:pPr>
      <w:r>
        <w:t xml:space="preserve">The timing shown in the Phasing Schedule is not binding and may change. </w:t>
      </w:r>
    </w:p>
    <w:p w14:paraId="27912D11" w14:textId="77777777" w:rsidR="007A411C" w:rsidRDefault="007A411C" w:rsidP="007A411C">
      <w:pPr>
        <w:pStyle w:val="ListParagraph"/>
        <w:numPr>
          <w:ilvl w:val="1"/>
          <w:numId w:val="37"/>
        </w:numPr>
        <w:autoSpaceDE/>
        <w:autoSpaceDN/>
        <w:adjustRightInd/>
        <w:spacing w:after="160" w:line="256" w:lineRule="auto"/>
      </w:pPr>
      <w:r>
        <w:t>All phases may be subdivided and adjusted during Final Development Plan approval. Construction may occur in more than one phase and/or sub-phase simultaneously.</w:t>
      </w:r>
    </w:p>
    <w:p w14:paraId="077AA4CB" w14:textId="77777777" w:rsidR="007A411C" w:rsidRDefault="007A411C" w:rsidP="007A411C">
      <w:pPr>
        <w:pStyle w:val="ListParagraph"/>
        <w:numPr>
          <w:ilvl w:val="1"/>
          <w:numId w:val="37"/>
        </w:numPr>
        <w:autoSpaceDE/>
        <w:autoSpaceDN/>
        <w:adjustRightInd/>
        <w:spacing w:after="160" w:line="256" w:lineRule="auto"/>
      </w:pPr>
      <w:r>
        <w:t>The nonresidential uses may be constructed in any timeline, subject to market demand and infrastructure availability, and in no case shall the City issue a development or building permit for the final residential phase without a Certificate of Occupancy having been issued for not less than one (1) of the commercial and/or non-residential buildings, unless the Development Order is otherwise amended.</w:t>
      </w:r>
    </w:p>
    <w:p w14:paraId="0710BB65" w14:textId="77777777" w:rsidR="007A411C" w:rsidRDefault="007A411C" w:rsidP="007A411C">
      <w:pPr>
        <w:pStyle w:val="ListParagraph"/>
        <w:numPr>
          <w:ilvl w:val="1"/>
          <w:numId w:val="37"/>
        </w:numPr>
        <w:autoSpaceDE/>
        <w:autoSpaceDN/>
        <w:adjustRightInd/>
        <w:spacing w:after="160" w:line="256" w:lineRule="auto"/>
      </w:pPr>
      <w:r>
        <w:t xml:space="preserve">The community amenity center or facilities specific to each phase must be constructed and be available for use by residents of same prior to the issuance of a Certificate of Occupancy for the last unit of that phase and in no case will a Certificate of Occupancy for a dwelling unit be issued for a subsequent phase unless a Certificate of Occupancy or Completion is issued for the community/amenity relevant to the current phase, not including dry models or sales office(s). </w:t>
      </w:r>
    </w:p>
    <w:p w14:paraId="27F1B549" w14:textId="77777777" w:rsidR="007A411C" w:rsidRDefault="007A411C" w:rsidP="007A411C">
      <w:pPr>
        <w:pStyle w:val="ListParagraph"/>
        <w:numPr>
          <w:ilvl w:val="1"/>
          <w:numId w:val="37"/>
        </w:numPr>
        <w:autoSpaceDE/>
        <w:autoSpaceDN/>
        <w:adjustRightInd/>
        <w:spacing w:after="160" w:line="256" w:lineRule="auto"/>
      </w:pPr>
      <w:r>
        <w:t xml:space="preserve">Trails that extend into phases not actively under development, for the purposes of this subsection, are excluded from the amenities requiring completion during the phased development and must be constructed and completed prior to the commencement of the final phase except those portions which encumber the final phase. </w:t>
      </w:r>
    </w:p>
    <w:p w14:paraId="7EC46FB5" w14:textId="77777777" w:rsidR="007A411C" w:rsidRDefault="007A411C" w:rsidP="007A411C">
      <w:pPr>
        <w:pStyle w:val="ListParagraph"/>
        <w:numPr>
          <w:ilvl w:val="1"/>
          <w:numId w:val="37"/>
        </w:numPr>
        <w:autoSpaceDE/>
        <w:autoSpaceDN/>
        <w:adjustRightInd/>
        <w:spacing w:after="160" w:line="256" w:lineRule="auto"/>
      </w:pPr>
      <w:r>
        <w:t>Amenities for the entirety of the PD, such as the linear trail park, and neighborhood-scale parks shall be identified on the Preliminary Master Plan.</w:t>
      </w:r>
    </w:p>
    <w:p w14:paraId="4B2E4287" w14:textId="77777777" w:rsidR="007A411C" w:rsidRDefault="007A411C" w:rsidP="007A411C">
      <w:pPr>
        <w:rPr>
          <w:b/>
          <w:bCs/>
        </w:rPr>
      </w:pPr>
      <w:r>
        <w:rPr>
          <w:b/>
          <w:bCs/>
        </w:rPr>
        <w:t>Section 3.5. Overview of permitting procedure.</w:t>
      </w:r>
    </w:p>
    <w:p w14:paraId="48BB1972" w14:textId="77777777" w:rsidR="007A411C" w:rsidRDefault="007A411C" w:rsidP="007A411C">
      <w:r>
        <w:t xml:space="preserve">The approval and permitting procedures for planned development (PD) zoning are established in the Land Development Regulations and include the following: </w:t>
      </w:r>
    </w:p>
    <w:p w14:paraId="4CCC138A" w14:textId="57D1C375" w:rsidR="007A411C" w:rsidRDefault="007A411C" w:rsidP="007A411C">
      <w:pPr>
        <w:pStyle w:val="ListParagraph"/>
        <w:numPr>
          <w:ilvl w:val="0"/>
          <w:numId w:val="38"/>
        </w:numPr>
        <w:autoSpaceDE/>
        <w:autoSpaceDN/>
        <w:adjustRightInd/>
        <w:spacing w:after="160" w:line="256" w:lineRule="auto"/>
        <w:ind w:left="720"/>
      </w:pPr>
      <w:r>
        <w:rPr>
          <w:i/>
          <w:iCs/>
          <w:u w:val="single"/>
        </w:rPr>
        <w:t>Final Development Plans</w:t>
      </w:r>
      <w:r>
        <w:t>. The Developer shall apply for Final Development Plan approval prior to the permitting of each phase of development of this property. A Final Development Plan may include one or multiple phases of the development as identified in the Preliminary Development Plan. Final Development Plan submittal requirements include the submittal of construction plans and a final plat prepared in conformance with</w:t>
      </w:r>
      <w:r w:rsidR="005B46D8">
        <w:t xml:space="preserve"> </w:t>
      </w:r>
      <w:r w:rsidRPr="005B46D8">
        <w:t>Article 5</w:t>
      </w:r>
      <w:r w:rsidR="005B46D8">
        <w:t xml:space="preserve"> </w:t>
      </w:r>
      <w:r>
        <w:t xml:space="preserve">of the Land Development Regulations for that portion of the development to be included in each Final Development Plan. </w:t>
      </w:r>
    </w:p>
    <w:p w14:paraId="4C1668E7" w14:textId="77777777" w:rsidR="007A411C" w:rsidRDefault="007A411C" w:rsidP="007A411C">
      <w:pPr>
        <w:pStyle w:val="ListParagraph"/>
        <w:numPr>
          <w:ilvl w:val="0"/>
          <w:numId w:val="38"/>
        </w:numPr>
        <w:autoSpaceDE/>
        <w:autoSpaceDN/>
        <w:adjustRightInd/>
        <w:spacing w:after="160" w:line="256" w:lineRule="auto"/>
        <w:ind w:left="720"/>
      </w:pPr>
      <w:r>
        <w:rPr>
          <w:i/>
          <w:iCs/>
          <w:u w:val="single"/>
        </w:rPr>
        <w:lastRenderedPageBreak/>
        <w:t>Environmental study</w:t>
      </w:r>
      <w:r>
        <w:t xml:space="preserve">. Prior to the scheduling of a public hearing for the Final Development Plan, the Developer shall </w:t>
      </w:r>
      <w:proofErr w:type="gramStart"/>
      <w:r>
        <w:t>provide</w:t>
      </w:r>
      <w:proofErr w:type="gramEnd"/>
      <w:r>
        <w:t xml:space="preserve"> at minimum, a Phase I environmental study analyzing the lands within the boundary of the PD. If said study contains information or recommendations which necessitate a Phase II environmental study, said study shall be provided in the same manner and consequences as the Phase I study. If the City Manager or their designee require an outside consultant to provide professional services for review, analysis and recommendations of the study on behalf of the City, the consultant, mutually selected by the City and Developer, shall be retained at the expense of the Developer.</w:t>
      </w:r>
    </w:p>
    <w:p w14:paraId="12C3429B" w14:textId="77777777" w:rsidR="007A411C" w:rsidRDefault="007A411C" w:rsidP="007A411C">
      <w:pPr>
        <w:pStyle w:val="ListParagraph"/>
        <w:numPr>
          <w:ilvl w:val="0"/>
          <w:numId w:val="38"/>
        </w:numPr>
        <w:autoSpaceDE/>
        <w:autoSpaceDN/>
        <w:adjustRightInd/>
        <w:spacing w:after="160" w:line="256" w:lineRule="auto"/>
        <w:ind w:left="720"/>
      </w:pPr>
      <w:r>
        <w:rPr>
          <w:i/>
          <w:iCs/>
          <w:u w:val="single"/>
        </w:rPr>
        <w:t>Plat</w:t>
      </w:r>
      <w:r>
        <w:t xml:space="preserve">.  All residential land within the development shall be </w:t>
      </w:r>
      <w:proofErr w:type="spellStart"/>
      <w:r>
        <w:t>platted</w:t>
      </w:r>
      <w:proofErr w:type="spellEnd"/>
      <w:r>
        <w:t xml:space="preserve"> in compliance with the approved Preliminary Development Plan and those requirements enumerated in the Land Development Regulations, as amended. The City shall withhold issuance of building permits for those lands which are required to be but have not been defined and illustrated on a plat map recorded in the Official Records of Alachua County, Florida.</w:t>
      </w:r>
    </w:p>
    <w:p w14:paraId="67DF023B" w14:textId="77777777" w:rsidR="007A411C" w:rsidRDefault="007A411C" w:rsidP="007A411C">
      <w:pPr>
        <w:ind w:left="360"/>
      </w:pPr>
    </w:p>
    <w:p w14:paraId="71658E09" w14:textId="77777777" w:rsidR="007A411C" w:rsidRDefault="007A411C" w:rsidP="007A411C">
      <w:pPr>
        <w:rPr>
          <w:b/>
          <w:bCs/>
        </w:rPr>
      </w:pPr>
      <w:r>
        <w:rPr>
          <w:b/>
          <w:bCs/>
        </w:rPr>
        <w:t>Section 3.6. Public facilities and services.</w:t>
      </w:r>
    </w:p>
    <w:p w14:paraId="6006F218" w14:textId="77777777" w:rsidR="007A411C" w:rsidRDefault="007A411C" w:rsidP="007A411C">
      <w:pPr>
        <w:pStyle w:val="ListParagraph"/>
        <w:ind w:left="360"/>
        <w:rPr>
          <w:b/>
          <w:bCs/>
          <w:i/>
          <w:iCs/>
        </w:rPr>
      </w:pPr>
      <w:r>
        <w:rPr>
          <w:b/>
          <w:bCs/>
          <w:i/>
          <w:iCs/>
        </w:rPr>
        <w:t xml:space="preserve">3.6.1 Generally. </w:t>
      </w:r>
    </w:p>
    <w:p w14:paraId="05826242" w14:textId="77777777" w:rsidR="007A411C" w:rsidRDefault="007A411C" w:rsidP="007A411C">
      <w:pPr>
        <w:pStyle w:val="ListParagraph"/>
        <w:numPr>
          <w:ilvl w:val="1"/>
          <w:numId w:val="39"/>
        </w:numPr>
        <w:autoSpaceDE/>
        <w:autoSpaceDN/>
        <w:adjustRightInd/>
        <w:spacing w:after="160" w:line="256" w:lineRule="auto"/>
      </w:pPr>
      <w:r>
        <w:rPr>
          <w:i/>
          <w:iCs/>
        </w:rPr>
        <w:t>Facility Capacity Availability</w:t>
      </w:r>
      <w:r>
        <w:t xml:space="preserve">. The City of Newberry reserves capacity for development on a first come, first </w:t>
      </w:r>
      <w:proofErr w:type="gramStart"/>
      <w:r>
        <w:t>serve</w:t>
      </w:r>
      <w:proofErr w:type="gramEnd"/>
      <w:r>
        <w:t xml:space="preserve"> basis. The processes and options described herein, in conjunction with the requirements of the Land Development Regulations, serve as the mechanisms for reserving facility capacity. </w:t>
      </w:r>
    </w:p>
    <w:p w14:paraId="760021CA" w14:textId="77777777" w:rsidR="007A411C" w:rsidRDefault="007A411C" w:rsidP="007A411C">
      <w:pPr>
        <w:pStyle w:val="ListParagraph"/>
        <w:numPr>
          <w:ilvl w:val="1"/>
          <w:numId w:val="39"/>
        </w:numPr>
        <w:spacing w:after="160" w:line="256" w:lineRule="auto"/>
      </w:pPr>
      <w:r>
        <w:rPr>
          <w:i/>
          <w:iCs/>
        </w:rPr>
        <w:t>Capacity Analysis.</w:t>
      </w:r>
    </w:p>
    <w:p w14:paraId="7E1D3BD7" w14:textId="77777777" w:rsidR="007A411C" w:rsidRDefault="007A411C" w:rsidP="007A411C">
      <w:pPr>
        <w:pStyle w:val="ListParagraph"/>
        <w:numPr>
          <w:ilvl w:val="2"/>
          <w:numId w:val="39"/>
        </w:numPr>
        <w:autoSpaceDE/>
        <w:autoSpaceDN/>
        <w:adjustRightInd/>
        <w:spacing w:after="160" w:line="256" w:lineRule="auto"/>
        <w:ind w:left="1800"/>
      </w:pPr>
      <w:r>
        <w:rPr>
          <w:i/>
          <w:iCs/>
        </w:rPr>
        <w:t xml:space="preserve">Final Development Plan. </w:t>
      </w:r>
      <w:r>
        <w:t xml:space="preserve">The Developer shall submit a facility capacity analysis in accordance with the conditions set forth herein for each of the required public facilities and services for each phase of development with each application for a Final Development Plan. The Developer shall enter into a separate binding capacity enhancement agreement (aka the Fair Share Cost Agreement as outlined in item 3.6.1.o) as part of the Final Development Plan that specifically addresses the Developer's financial responsibility for the on-site and off-site impacts created by the development related to that phase. No further development orders shall be granted by the City for properties addressed within a Final Development Plan until the binding capacity agreement has been executed by the parties. </w:t>
      </w:r>
    </w:p>
    <w:p w14:paraId="428D91E1" w14:textId="77777777" w:rsidR="007A411C" w:rsidRDefault="007A411C" w:rsidP="007A411C">
      <w:pPr>
        <w:pStyle w:val="ListParagraph"/>
        <w:numPr>
          <w:ilvl w:val="2"/>
          <w:numId w:val="39"/>
        </w:numPr>
        <w:spacing w:after="160" w:line="256" w:lineRule="auto"/>
        <w:ind w:left="1800"/>
      </w:pPr>
      <w:r>
        <w:rPr>
          <w:i/>
          <w:iCs/>
        </w:rPr>
        <w:t>Concurrency</w:t>
      </w:r>
      <w:r>
        <w:t>. The City of Newberry land development regulations recognize that rezoning applications have less immediate impacts on public facilities and services than the issuance of a building permit. The following concurrency management requirements shall apply to the PD. At the time of Building Permit approval, the project phase or sub-phase shall undergo Concurrency Review per the requirements of the City's land development regulations and may be required to:</w:t>
      </w:r>
    </w:p>
    <w:p w14:paraId="4C22386F" w14:textId="77777777" w:rsidR="007A411C" w:rsidRDefault="007A411C" w:rsidP="007A411C">
      <w:pPr>
        <w:pStyle w:val="ListParagraph"/>
        <w:numPr>
          <w:ilvl w:val="3"/>
          <w:numId w:val="39"/>
        </w:numPr>
        <w:spacing w:after="160" w:line="256" w:lineRule="auto"/>
        <w:ind w:left="2250"/>
      </w:pPr>
      <w:r>
        <w:t>Construct additional public facility capacity where public facilities, due to the impacts of the development proposal, do not meet the adopted level of service; and</w:t>
      </w:r>
    </w:p>
    <w:p w14:paraId="57DBD00B" w14:textId="77777777" w:rsidR="007A411C" w:rsidRDefault="007A411C" w:rsidP="007A411C">
      <w:pPr>
        <w:pStyle w:val="ListParagraph"/>
        <w:numPr>
          <w:ilvl w:val="3"/>
          <w:numId w:val="39"/>
        </w:numPr>
        <w:spacing w:after="160" w:line="256" w:lineRule="auto"/>
        <w:ind w:left="2250"/>
      </w:pPr>
      <w:r>
        <w:t xml:space="preserve">Construct the necessary public facilities, including both on site and </w:t>
      </w:r>
      <w:proofErr w:type="gramStart"/>
      <w:r>
        <w:t>off site</w:t>
      </w:r>
      <w:proofErr w:type="gramEnd"/>
      <w:r>
        <w:t xml:space="preserve"> facilities, at the developer's expense, or by the public or private entity having jurisdictional authority over the facility, so that the necessary facilities and services will be in place when the impacts of the development occur in conformance with the five-year schedule of improvements found within the city capital improvements element.</w:t>
      </w:r>
    </w:p>
    <w:p w14:paraId="26C9080B" w14:textId="77777777" w:rsidR="007A411C" w:rsidRDefault="007A411C" w:rsidP="007A411C">
      <w:pPr>
        <w:pStyle w:val="ListParagraph"/>
        <w:numPr>
          <w:ilvl w:val="1"/>
          <w:numId w:val="39"/>
        </w:numPr>
        <w:spacing w:after="160" w:line="256" w:lineRule="auto"/>
      </w:pPr>
      <w:r>
        <w:rPr>
          <w:i/>
          <w:iCs/>
        </w:rPr>
        <w:t>Mitigation of Impact</w:t>
      </w:r>
      <w:r>
        <w:t>. The Developer shall be responsible for the mitigation of impacts on public facilities and services as set out in City ordinances or otherwise determined to be necessary to meet the adopted levels of service standards established in the Comprehensive Plan, as amended.</w:t>
      </w:r>
      <w:r>
        <w:tab/>
      </w:r>
    </w:p>
    <w:p w14:paraId="094663DE" w14:textId="77777777" w:rsidR="007A411C" w:rsidRDefault="007A411C" w:rsidP="007A411C">
      <w:pPr>
        <w:pStyle w:val="ListParagraph"/>
        <w:numPr>
          <w:ilvl w:val="1"/>
          <w:numId w:val="39"/>
        </w:numPr>
        <w:autoSpaceDE/>
        <w:autoSpaceDN/>
        <w:adjustRightInd/>
        <w:spacing w:after="160" w:line="256" w:lineRule="auto"/>
      </w:pPr>
      <w:r>
        <w:t>The development will follow all applicable approval, permitting, and conditioned improvements necessary to mitigate impacts as required by the City, State of Florida, Suwannee River Water Management District and/or any other governmental authority pertaining to, owners in interest to, and having public facilities impacted by the PD.</w:t>
      </w:r>
    </w:p>
    <w:p w14:paraId="6C71F544" w14:textId="77777777" w:rsidR="007A411C" w:rsidRDefault="007A411C" w:rsidP="007A411C">
      <w:pPr>
        <w:pStyle w:val="ListParagraph"/>
        <w:numPr>
          <w:ilvl w:val="1"/>
          <w:numId w:val="39"/>
        </w:numPr>
        <w:autoSpaceDE/>
        <w:autoSpaceDN/>
        <w:adjustRightInd/>
        <w:spacing w:after="160" w:line="256" w:lineRule="auto"/>
      </w:pPr>
      <w:r>
        <w:rPr>
          <w:i/>
          <w:iCs/>
        </w:rPr>
        <w:t>Installation and Construction</w:t>
      </w:r>
      <w:r>
        <w:t xml:space="preserve">. The Developer, at its own expense, shall design and construct or install all infrastructure, including, but not limited to on and off-site improvements of, sewer lines, potable water lines, roads, sidewalks, hydrants, lift stations, and access improvements necessary to </w:t>
      </w:r>
      <w:r>
        <w:lastRenderedPageBreak/>
        <w:t>support the proposed level of development as approved by the City through construction plans and final plats.</w:t>
      </w:r>
    </w:p>
    <w:p w14:paraId="6ADB25B1" w14:textId="77777777" w:rsidR="007A411C" w:rsidRDefault="007A411C" w:rsidP="007A411C">
      <w:pPr>
        <w:pStyle w:val="ListParagraph"/>
        <w:numPr>
          <w:ilvl w:val="1"/>
          <w:numId w:val="39"/>
        </w:numPr>
        <w:autoSpaceDE/>
        <w:autoSpaceDN/>
        <w:adjustRightInd/>
        <w:spacing w:after="160" w:line="256" w:lineRule="auto"/>
      </w:pPr>
      <w:r>
        <w:t xml:space="preserve">Infrastructure shall be designed and constructed to City standards as inspected by the City or their </w:t>
      </w:r>
      <w:proofErr w:type="gramStart"/>
      <w:r>
        <w:t>designee</w:t>
      </w:r>
      <w:proofErr w:type="gramEnd"/>
      <w:r>
        <w:t xml:space="preserve"> prior to acceptance of completed facilities. Such construction of public facilities shall be as provided within the construction plans as approved by the City.</w:t>
      </w:r>
    </w:p>
    <w:p w14:paraId="7441D808" w14:textId="77777777" w:rsidR="007A411C" w:rsidRDefault="007A411C" w:rsidP="007A411C">
      <w:pPr>
        <w:pStyle w:val="ListParagraph"/>
        <w:numPr>
          <w:ilvl w:val="1"/>
          <w:numId w:val="39"/>
        </w:numPr>
        <w:spacing w:after="160"/>
      </w:pPr>
      <w:r>
        <w:t>The Developer is responsible for the installation and coordination of all lines, equipment, and appurtenances for the connection of structures to all available utilities provided by public and private entities, including but not limited to City facilities, internet and telecommunications provider(s), and the appropriate electric utility.</w:t>
      </w:r>
    </w:p>
    <w:p w14:paraId="1D0997EE" w14:textId="77777777" w:rsidR="007A411C" w:rsidRDefault="007A411C" w:rsidP="007A411C">
      <w:pPr>
        <w:pStyle w:val="ListParagraph"/>
        <w:numPr>
          <w:ilvl w:val="1"/>
          <w:numId w:val="39"/>
        </w:numPr>
        <w:autoSpaceDE/>
        <w:autoSpaceDN/>
        <w:adjustRightInd/>
        <w:spacing w:after="160" w:line="256" w:lineRule="auto"/>
      </w:pPr>
      <w:r>
        <w:t>The City reserves the right to specify the location of public facilities on the site as to best serve the development and facilitate service of utilities.</w:t>
      </w:r>
    </w:p>
    <w:p w14:paraId="14164407" w14:textId="77777777" w:rsidR="007A411C" w:rsidRDefault="007A411C" w:rsidP="007A411C">
      <w:pPr>
        <w:pStyle w:val="ListParagraph"/>
        <w:numPr>
          <w:ilvl w:val="1"/>
          <w:numId w:val="39"/>
        </w:numPr>
        <w:autoSpaceDE/>
        <w:autoSpaceDN/>
        <w:adjustRightInd/>
        <w:spacing w:after="160" w:line="256" w:lineRule="auto"/>
      </w:pPr>
      <w:r>
        <w:t>All utilities lines shall be installed underground.</w:t>
      </w:r>
    </w:p>
    <w:p w14:paraId="353C8DB8" w14:textId="77777777" w:rsidR="007A411C" w:rsidRDefault="007A411C" w:rsidP="007A411C">
      <w:pPr>
        <w:pStyle w:val="ListParagraph"/>
        <w:numPr>
          <w:ilvl w:val="1"/>
          <w:numId w:val="39"/>
        </w:numPr>
        <w:autoSpaceDE/>
        <w:autoSpaceDN/>
        <w:adjustRightInd/>
        <w:spacing w:after="160" w:line="256" w:lineRule="auto"/>
      </w:pPr>
      <w:r>
        <w:rPr>
          <w:i/>
          <w:iCs/>
        </w:rPr>
        <w:t>Maintenance</w:t>
      </w:r>
      <w:r>
        <w:t xml:space="preserve">. A final </w:t>
      </w:r>
      <w:proofErr w:type="gramStart"/>
      <w:r>
        <w:t>plat</w:t>
      </w:r>
      <w:proofErr w:type="gramEnd"/>
      <w:r>
        <w:t xml:space="preserve"> shall neither be approved by the city commission nor accepted for filing until the subdivider posts a maintenance bond to cover at least ten percent of the estimated costs of all required improvements for a period of one year.</w:t>
      </w:r>
    </w:p>
    <w:p w14:paraId="6F15A920" w14:textId="77777777" w:rsidR="007A411C" w:rsidRDefault="007A411C" w:rsidP="007A411C">
      <w:pPr>
        <w:pStyle w:val="ListParagraph"/>
        <w:numPr>
          <w:ilvl w:val="1"/>
          <w:numId w:val="39"/>
        </w:numPr>
        <w:autoSpaceDE/>
        <w:autoSpaceDN/>
        <w:adjustRightInd/>
        <w:spacing w:after="160" w:line="256" w:lineRule="auto"/>
      </w:pPr>
      <w:r>
        <w:rPr>
          <w:i/>
          <w:iCs/>
        </w:rPr>
        <w:t>Easements</w:t>
      </w:r>
      <w:r>
        <w:t>. The City reserves the right to require dedication or conveyance of land(s) or granting of easement(s) that are signed and recorded easements deemed necessary to provide adequate utility services, to include, but not limited to, immediate and future access by the City, its employees, and contractors, as well as on-going maintenance of the facilities.</w:t>
      </w:r>
    </w:p>
    <w:p w14:paraId="2D06364C" w14:textId="77777777" w:rsidR="007A411C" w:rsidRDefault="007A411C" w:rsidP="007A411C">
      <w:pPr>
        <w:pStyle w:val="ListParagraph"/>
        <w:numPr>
          <w:ilvl w:val="1"/>
          <w:numId w:val="39"/>
        </w:numPr>
        <w:autoSpaceDE/>
        <w:autoSpaceDN/>
        <w:adjustRightInd/>
        <w:spacing w:after="160" w:line="256" w:lineRule="auto"/>
      </w:pPr>
      <w:r>
        <w:t xml:space="preserve">Final decisions on </w:t>
      </w:r>
      <w:proofErr w:type="gramStart"/>
      <w:r>
        <w:t>location</w:t>
      </w:r>
      <w:proofErr w:type="gramEnd"/>
      <w:r>
        <w:t xml:space="preserve"> and dimension of public utility easements shall be at the sole discretion of the City Manager or their designee.</w:t>
      </w:r>
    </w:p>
    <w:p w14:paraId="625DDD3F" w14:textId="77777777" w:rsidR="007A411C" w:rsidRDefault="007A411C" w:rsidP="007A411C">
      <w:pPr>
        <w:pStyle w:val="ListParagraph"/>
        <w:numPr>
          <w:ilvl w:val="1"/>
          <w:numId w:val="39"/>
        </w:numPr>
        <w:autoSpaceDE/>
        <w:autoSpaceDN/>
        <w:adjustRightInd/>
        <w:spacing w:after="160" w:line="256" w:lineRule="auto"/>
      </w:pPr>
      <w:r>
        <w:t>Public utility easements shall be identified on the construction plans and shall be granted by separate instrument.</w:t>
      </w:r>
    </w:p>
    <w:p w14:paraId="45FD9958" w14:textId="77777777" w:rsidR="007A411C" w:rsidRDefault="007A411C" w:rsidP="007A411C">
      <w:pPr>
        <w:pStyle w:val="ListParagraph"/>
        <w:numPr>
          <w:ilvl w:val="1"/>
          <w:numId w:val="39"/>
        </w:numPr>
        <w:autoSpaceDE/>
        <w:autoSpaceDN/>
        <w:adjustRightInd/>
        <w:spacing w:after="160" w:line="256" w:lineRule="auto"/>
      </w:pPr>
      <w:r>
        <w:t>Within all public utility easements, landscaping shall be maintained to provide free and clear access to the easement, land, and/or utilities by the City of Newberry and its employees at the expense of the developer and/or the homeowners’ association, or their heirs, successors, or assigns.</w:t>
      </w:r>
    </w:p>
    <w:p w14:paraId="2CF0AE8B" w14:textId="77777777" w:rsidR="007A411C" w:rsidRDefault="007A411C" w:rsidP="007A411C">
      <w:pPr>
        <w:pStyle w:val="ListParagraph"/>
        <w:numPr>
          <w:ilvl w:val="1"/>
          <w:numId w:val="39"/>
        </w:numPr>
        <w:autoSpaceDE/>
        <w:autoSpaceDN/>
        <w:adjustRightInd/>
        <w:spacing w:after="160" w:line="256" w:lineRule="auto"/>
      </w:pPr>
      <w:r>
        <w:rPr>
          <w:i/>
          <w:iCs/>
        </w:rPr>
        <w:t>Fair Share Cost</w:t>
      </w:r>
      <w:r>
        <w:t xml:space="preserve">. The Developer, as determined by the City, the City Manager or their designee, or other affected governmental agency, may be required to participate in fair-share costs for construction of off-site improvements of which the fair-share costs shall be mutually agreed upon. If the City provides the line extensions that would serve the development site prior to the initial phase of construction drawing approval, the Developer shall pay the development's proportionate share of the direct costs to the City related to the line extensions, as determined by the City Engineer. If the Developer provides for the line extensions that would serve the development site, the </w:t>
      </w:r>
      <w:proofErr w:type="gramStart"/>
      <w:r>
        <w:t>City</w:t>
      </w:r>
      <w:proofErr w:type="gramEnd"/>
      <w:r>
        <w:t xml:space="preserve"> will reimburse the Developer for the actual, invoiced construction costs, that are attributable to the oversizing or extension. Developer costs for design, project engineering, permitting, and inspection are not eligible for reimbursement. The oversizing or extension reimbursement amount shall be determined by City based on the difference between the construction cost of the Utility Facilities required to serve the Developer's project and the cost to oversize or extend the Utility Facilities. If the City requires oversizing of lines to serve other properties, the difference in cost for the oversizing shall be borne by the City. The City's Engineer shall determine all costs and values related to this section.</w:t>
      </w:r>
    </w:p>
    <w:p w14:paraId="2864E1B7" w14:textId="77777777" w:rsidR="007A411C" w:rsidRDefault="007A411C" w:rsidP="007A411C">
      <w:pPr>
        <w:pStyle w:val="ListParagraph"/>
        <w:numPr>
          <w:ilvl w:val="1"/>
          <w:numId w:val="39"/>
        </w:numPr>
        <w:autoSpaceDE/>
        <w:autoSpaceDN/>
        <w:adjustRightInd/>
        <w:spacing w:after="160" w:line="256" w:lineRule="auto"/>
      </w:pPr>
      <w:r>
        <w:t>The proposed development shall be subject to impact fees as may be implemented by the City of Newberry, Florida which shall be assessed and collected at time of and prior to building permit issuance consistent with Section 163.31801(4)(e) of the Florida Statutes.</w:t>
      </w:r>
    </w:p>
    <w:p w14:paraId="4133ED71" w14:textId="77777777" w:rsidR="007A411C" w:rsidRDefault="007A411C" w:rsidP="007A411C">
      <w:pPr>
        <w:pStyle w:val="ListParagraph"/>
        <w:numPr>
          <w:ilvl w:val="1"/>
          <w:numId w:val="39"/>
        </w:numPr>
        <w:autoSpaceDE/>
        <w:autoSpaceDN/>
        <w:adjustRightInd/>
        <w:spacing w:after="160" w:line="256" w:lineRule="auto"/>
      </w:pPr>
      <w:r>
        <w:t>The Developer and the City agree that the following items constitute a preliminary assessment of the master utilities infrastructure required through the full buildout of the PD entitlements and are necessary to support the uses within the PD (“Infrastructure Projects”):</w:t>
      </w:r>
    </w:p>
    <w:p w14:paraId="0028D83A" w14:textId="77777777" w:rsidR="007A411C" w:rsidRDefault="007A411C" w:rsidP="007A411C">
      <w:pPr>
        <w:pStyle w:val="ListParagraph"/>
        <w:numPr>
          <w:ilvl w:val="3"/>
          <w:numId w:val="32"/>
        </w:numPr>
        <w:autoSpaceDE/>
        <w:autoSpaceDN/>
        <w:adjustRightInd/>
        <w:spacing w:after="160" w:line="256" w:lineRule="auto"/>
        <w:ind w:left="1800"/>
      </w:pPr>
      <w:r>
        <w:t xml:space="preserve">Utilities:  </w:t>
      </w:r>
    </w:p>
    <w:p w14:paraId="39FBEA2F" w14:textId="77777777" w:rsidR="007A411C" w:rsidRDefault="007A411C" w:rsidP="007A411C">
      <w:pPr>
        <w:pStyle w:val="ListParagraph"/>
        <w:numPr>
          <w:ilvl w:val="0"/>
          <w:numId w:val="40"/>
        </w:numPr>
        <w:autoSpaceDE/>
        <w:autoSpaceDN/>
        <w:adjustRightInd/>
        <w:spacing w:after="160" w:line="256" w:lineRule="auto"/>
      </w:pPr>
      <w:r>
        <w:t xml:space="preserve">Master Wastewater Lines. Approximately 21,000 lineal feet of master wastewater collection/transmission lines with related lift stations and other appurtenances, as conceptually depicted on </w:t>
      </w:r>
      <w:r>
        <w:rPr>
          <w:b/>
          <w:bCs/>
        </w:rPr>
        <w:t>Exhibit</w:t>
      </w:r>
      <w:r>
        <w:t xml:space="preserve"> </w:t>
      </w:r>
      <w:r>
        <w:rPr>
          <w:b/>
          <w:bCs/>
        </w:rPr>
        <w:t>C.1</w:t>
      </w:r>
      <w:r>
        <w:t xml:space="preserve">, subject to approval of line size, location and configuration by the City of Newberry Public Works Department pursuant to a </w:t>
      </w:r>
      <w:r>
        <w:lastRenderedPageBreak/>
        <w:t>preliminary master utility plan; including design, permitting and construction; preliminary estimated cost $ 2.5 million.</w:t>
      </w:r>
    </w:p>
    <w:p w14:paraId="1053E100" w14:textId="77777777" w:rsidR="007A411C" w:rsidRDefault="007A411C" w:rsidP="007A411C">
      <w:pPr>
        <w:pStyle w:val="ListParagraph"/>
        <w:numPr>
          <w:ilvl w:val="0"/>
          <w:numId w:val="40"/>
        </w:numPr>
        <w:autoSpaceDE/>
        <w:autoSpaceDN/>
        <w:adjustRightInd/>
        <w:spacing w:after="160" w:line="256" w:lineRule="auto"/>
      </w:pPr>
      <w:r>
        <w:t xml:space="preserve">Master Potable Water Lines. Approximately 7,300 lineal feet of potable water transmission mains with related booster pump stations and other appurtenances, as conceptually depicted on </w:t>
      </w:r>
      <w:r>
        <w:rPr>
          <w:b/>
          <w:bCs/>
        </w:rPr>
        <w:t>Exhibit</w:t>
      </w:r>
      <w:r>
        <w:t xml:space="preserve"> </w:t>
      </w:r>
      <w:r>
        <w:rPr>
          <w:b/>
          <w:bCs/>
        </w:rPr>
        <w:t>C.2</w:t>
      </w:r>
      <w:r>
        <w:t>, subject to approval of line size, location, and configuration by the City of Newberry Public Works Department pursuant to a preliminary master utility plan; including design, permitting and construction; preliminary estimated cost $ 950,000.</w:t>
      </w:r>
    </w:p>
    <w:p w14:paraId="7CEB6947" w14:textId="77777777" w:rsidR="007A411C" w:rsidRDefault="007A411C" w:rsidP="007A411C">
      <w:pPr>
        <w:pStyle w:val="ListParagraph"/>
        <w:numPr>
          <w:ilvl w:val="1"/>
          <w:numId w:val="39"/>
        </w:numPr>
        <w:autoSpaceDE/>
        <w:autoSpaceDN/>
        <w:adjustRightInd/>
        <w:spacing w:after="160" w:line="256" w:lineRule="auto"/>
      </w:pPr>
      <w:r>
        <w:t>Pursuant to Appendix B, Article 4, Section 4.21.7 of the City of Newberry Code of Ordinances, no building permit shall be issued for any portion of a planned development until the Final Development Plan has been approved and minimum requirements for fire safety and building codes have been satisfied.</w:t>
      </w:r>
    </w:p>
    <w:p w14:paraId="6E32D668" w14:textId="77777777" w:rsidR="007A411C" w:rsidRDefault="007A411C" w:rsidP="007A411C">
      <w:pPr>
        <w:pStyle w:val="ListParagraph"/>
        <w:ind w:left="1440"/>
      </w:pPr>
    </w:p>
    <w:p w14:paraId="2F58394F" w14:textId="77777777" w:rsidR="007A411C" w:rsidRDefault="007A411C" w:rsidP="007A411C">
      <w:pPr>
        <w:pStyle w:val="ListParagraph"/>
        <w:ind w:left="360"/>
        <w:rPr>
          <w:b/>
          <w:bCs/>
          <w:i/>
          <w:iCs/>
        </w:rPr>
      </w:pPr>
      <w:r>
        <w:rPr>
          <w:b/>
          <w:bCs/>
          <w:i/>
          <w:iCs/>
        </w:rPr>
        <w:t>3.6.2 Potable Water.</w:t>
      </w:r>
    </w:p>
    <w:p w14:paraId="669B6A55" w14:textId="77777777" w:rsidR="007A411C" w:rsidRDefault="007A411C" w:rsidP="007A411C">
      <w:pPr>
        <w:pStyle w:val="ListParagraph"/>
        <w:numPr>
          <w:ilvl w:val="0"/>
          <w:numId w:val="41"/>
        </w:numPr>
        <w:autoSpaceDE/>
        <w:autoSpaceDN/>
        <w:adjustRightInd/>
        <w:spacing w:after="160" w:line="256" w:lineRule="auto"/>
      </w:pPr>
      <w:r>
        <w:t xml:space="preserve">City will be </w:t>
      </w:r>
      <w:proofErr w:type="gramStart"/>
      <w:r>
        <w:t>sole</w:t>
      </w:r>
      <w:proofErr w:type="gramEnd"/>
      <w:r>
        <w:t xml:space="preserve"> provider of potable water and reuse water (if provided by City) to the Development.</w:t>
      </w:r>
    </w:p>
    <w:p w14:paraId="734B2886" w14:textId="77777777" w:rsidR="007A411C" w:rsidRDefault="007A411C" w:rsidP="007A411C">
      <w:pPr>
        <w:pStyle w:val="ListParagraph"/>
        <w:numPr>
          <w:ilvl w:val="0"/>
          <w:numId w:val="41"/>
        </w:numPr>
        <w:autoSpaceDE/>
        <w:autoSpaceDN/>
        <w:adjustRightInd/>
        <w:spacing w:after="160" w:line="256" w:lineRule="auto"/>
      </w:pPr>
      <w:r>
        <w:t xml:space="preserve">The Developer agrees, at its own expense, to extend potable water to the PD prior to development as required and approved by the </w:t>
      </w:r>
      <w:proofErr w:type="gramStart"/>
      <w:r>
        <w:t>City</w:t>
      </w:r>
      <w:proofErr w:type="gramEnd"/>
      <w:r>
        <w:t>. Such connection can be by gravity or force main. Force main connections to existing gravity or force main require construction of on-site lift stations. Connection to an existing force main can only be accomplished by force main.</w:t>
      </w:r>
    </w:p>
    <w:p w14:paraId="255EA13B" w14:textId="77777777" w:rsidR="007A411C" w:rsidRDefault="007A411C" w:rsidP="007A411C">
      <w:pPr>
        <w:pStyle w:val="ListParagraph"/>
        <w:numPr>
          <w:ilvl w:val="0"/>
          <w:numId w:val="41"/>
        </w:numPr>
        <w:autoSpaceDE/>
        <w:autoSpaceDN/>
        <w:adjustRightInd/>
        <w:spacing w:after="160" w:line="256" w:lineRule="auto"/>
      </w:pPr>
      <w:r>
        <w:t>Potable water and fire flow demand calculations and facility capacity modeling shall be provided with the application for construction plans greater than 120 ERUs or at the beginning of each phase of development per the Phasing Plan included with this Development Order, as amended. The water capacity modeling shall be performed using methodology established and provided by the City and shall be provided at the Developer’s expense. The modeling shall be conducted for the purpose of determining the type and timing of necessary off-site improvements required to adequately serve the proposed development and establish the timing, construction, and financing of any such improvements for the binding capacity enhancement agreement.</w:t>
      </w:r>
    </w:p>
    <w:p w14:paraId="3A5C1459" w14:textId="77777777" w:rsidR="007A411C" w:rsidRDefault="007A411C" w:rsidP="007A411C">
      <w:pPr>
        <w:pStyle w:val="ListParagraph"/>
        <w:numPr>
          <w:ilvl w:val="0"/>
          <w:numId w:val="41"/>
        </w:numPr>
        <w:autoSpaceDE/>
        <w:autoSpaceDN/>
        <w:adjustRightInd/>
        <w:spacing w:after="160" w:line="256" w:lineRule="auto"/>
      </w:pPr>
      <w:r>
        <w:t>No required public hearing shall be scheduled, nor shall construction plans be approved for any phase of the PD until the potable water and fire flow calculations and modeling for that phase have been deemed sufficient by the City Manager or their designee.</w:t>
      </w:r>
    </w:p>
    <w:p w14:paraId="798571D8" w14:textId="77777777" w:rsidR="007A411C" w:rsidRDefault="007A411C" w:rsidP="007A411C">
      <w:pPr>
        <w:pStyle w:val="ListParagraph"/>
        <w:numPr>
          <w:ilvl w:val="0"/>
          <w:numId w:val="41"/>
        </w:numPr>
        <w:autoSpaceDE/>
        <w:autoSpaceDN/>
        <w:adjustRightInd/>
        <w:spacing w:after="160" w:line="256" w:lineRule="auto"/>
      </w:pPr>
      <w:r>
        <w:t>If the City requires oversizing of lines to serve other properties, the difference in cost for the oversizing shall be borne by the City. The City shall have final determination of all costs and values related to oversizing.</w:t>
      </w:r>
    </w:p>
    <w:p w14:paraId="0F6D71AB" w14:textId="77777777" w:rsidR="007A411C" w:rsidRDefault="007A411C" w:rsidP="007A411C">
      <w:pPr>
        <w:pStyle w:val="ListParagraph"/>
        <w:numPr>
          <w:ilvl w:val="0"/>
          <w:numId w:val="41"/>
        </w:numPr>
        <w:autoSpaceDE/>
        <w:autoSpaceDN/>
        <w:adjustRightInd/>
        <w:spacing w:after="160" w:line="256" w:lineRule="auto"/>
      </w:pPr>
      <w:r>
        <w:t xml:space="preserve">All water utility system structures shown on the Preliminary Utility Service Plan as provided in Section 3.1 shall be required to establish stub connections to adjacent parcels.  </w:t>
      </w:r>
    </w:p>
    <w:p w14:paraId="74AE6CE2" w14:textId="77777777" w:rsidR="007A411C" w:rsidRDefault="007A411C" w:rsidP="007A411C">
      <w:pPr>
        <w:pStyle w:val="ListParagraph"/>
        <w:ind w:left="360"/>
        <w:rPr>
          <w:b/>
          <w:bCs/>
          <w:i/>
          <w:iCs/>
        </w:rPr>
      </w:pPr>
    </w:p>
    <w:p w14:paraId="62940A0B" w14:textId="77777777" w:rsidR="007A411C" w:rsidRDefault="007A411C" w:rsidP="007A411C">
      <w:pPr>
        <w:pStyle w:val="ListParagraph"/>
        <w:ind w:left="360"/>
        <w:rPr>
          <w:b/>
          <w:bCs/>
          <w:i/>
          <w:iCs/>
        </w:rPr>
      </w:pPr>
      <w:r>
        <w:rPr>
          <w:b/>
          <w:bCs/>
          <w:i/>
          <w:iCs/>
        </w:rPr>
        <w:t>3.6.3 Wastewater.</w:t>
      </w:r>
    </w:p>
    <w:p w14:paraId="64523038" w14:textId="77777777" w:rsidR="007A411C" w:rsidRDefault="007A411C" w:rsidP="007A411C">
      <w:pPr>
        <w:pStyle w:val="ListParagraph"/>
        <w:numPr>
          <w:ilvl w:val="0"/>
          <w:numId w:val="42"/>
        </w:numPr>
        <w:autoSpaceDE/>
        <w:autoSpaceDN/>
        <w:adjustRightInd/>
        <w:spacing w:after="160" w:line="256" w:lineRule="auto"/>
        <w:ind w:left="1440"/>
      </w:pPr>
      <w:proofErr w:type="gramStart"/>
      <w:r>
        <w:t>City</w:t>
      </w:r>
      <w:proofErr w:type="gramEnd"/>
      <w:r>
        <w:t xml:space="preserve"> will be sole provider of sanitary sewer service to the development.</w:t>
      </w:r>
    </w:p>
    <w:p w14:paraId="4010C795" w14:textId="77777777" w:rsidR="007A411C" w:rsidRDefault="007A411C" w:rsidP="007A411C">
      <w:pPr>
        <w:pStyle w:val="ListParagraph"/>
        <w:numPr>
          <w:ilvl w:val="0"/>
          <w:numId w:val="42"/>
        </w:numPr>
        <w:autoSpaceDE/>
        <w:autoSpaceDN/>
        <w:adjustRightInd/>
        <w:spacing w:after="160" w:line="256" w:lineRule="auto"/>
        <w:ind w:left="1440"/>
      </w:pPr>
      <w:r>
        <w:t xml:space="preserve">The Developer agrees, at its own expense, to extend sanitary </w:t>
      </w:r>
      <w:proofErr w:type="gramStart"/>
      <w:r>
        <w:t>sewer</w:t>
      </w:r>
      <w:proofErr w:type="gramEnd"/>
      <w:r>
        <w:t xml:space="preserve"> to the PD prior to development as required and approved by the </w:t>
      </w:r>
      <w:proofErr w:type="gramStart"/>
      <w:r>
        <w:t>City</w:t>
      </w:r>
      <w:proofErr w:type="gramEnd"/>
      <w:r>
        <w:t>. Such connection can be by gravity or force main. Force main connections to existing gravity or force main require construction of on-site lift stations. Connection to an existing force main can only be accomplished by force main.</w:t>
      </w:r>
    </w:p>
    <w:p w14:paraId="5EC586E7" w14:textId="77777777" w:rsidR="007A411C" w:rsidRDefault="007A411C" w:rsidP="007A411C">
      <w:pPr>
        <w:pStyle w:val="ListParagraph"/>
        <w:numPr>
          <w:ilvl w:val="0"/>
          <w:numId w:val="42"/>
        </w:numPr>
        <w:autoSpaceDE/>
        <w:autoSpaceDN/>
        <w:adjustRightInd/>
        <w:spacing w:after="160" w:line="256" w:lineRule="auto"/>
        <w:ind w:left="1440"/>
      </w:pPr>
      <w:r>
        <w:t>Wastewater demand calculations and facility capacity modeling shall be provided with the application for construction plans greater than 120 ERUs or at the beginning of each phase of development per the Phasing Plan included with this Development Order, as amended. The wastewater capacity modeling shall be performed using methodology established and provided by the city and shall be provided at the Developer’s expense. The modeling shall be conducted for the purpose of determining the type and timing of any necessary off-site improvements required to adequately serve the proposed development and establish the timing, construction, and financing of any such improvements for the binding capacity enhancement agreement.</w:t>
      </w:r>
    </w:p>
    <w:p w14:paraId="5AD53BB6" w14:textId="77777777" w:rsidR="007A411C" w:rsidRDefault="007A411C" w:rsidP="007A411C">
      <w:pPr>
        <w:pStyle w:val="ListParagraph"/>
        <w:numPr>
          <w:ilvl w:val="0"/>
          <w:numId w:val="42"/>
        </w:numPr>
        <w:autoSpaceDE/>
        <w:autoSpaceDN/>
        <w:adjustRightInd/>
        <w:spacing w:after="160" w:line="256" w:lineRule="auto"/>
        <w:ind w:left="1440"/>
      </w:pPr>
      <w:r>
        <w:t xml:space="preserve">An initial connection to the city’s wastewater treatment facility for the PD will be allowed at the NE quadrant of the site utilizing existing wastewater facilities with the US-41/SR27/45 corridor </w:t>
      </w:r>
      <w:r>
        <w:lastRenderedPageBreak/>
        <w:t>based upon the then available capacity as determined by the required wastewater treatment modelling for Phases 1 and 2 (Sec. 3.5.3.c). The model will determine the amount of available capacity and the amount of development that can be accommodated through this initial connection. The second connection will be required to be made at the western edge of the development utilizing a future extension of the Northwest 266 Street right-of-way.</w:t>
      </w:r>
    </w:p>
    <w:p w14:paraId="41608F42" w14:textId="77777777" w:rsidR="007A411C" w:rsidRDefault="007A411C" w:rsidP="007A411C">
      <w:pPr>
        <w:pStyle w:val="ListParagraph"/>
        <w:numPr>
          <w:ilvl w:val="0"/>
          <w:numId w:val="42"/>
        </w:numPr>
        <w:autoSpaceDE/>
        <w:autoSpaceDN/>
        <w:adjustRightInd/>
        <w:spacing w:after="160" w:line="256" w:lineRule="auto"/>
        <w:ind w:left="1440"/>
      </w:pPr>
      <w:r>
        <w:t>For those portions of the wastewater systems utilizing existing lift stations, calculations and modeling are required to demonstrate those existing facilities have sufficient capacity to absorb the additional volumes proposed. If calculations and modeling demonstrate insufficient capacity exists to absorb additional volumes generated by the PD, the City reserves the right to require existing lift stations to be reconstructed as master lift stations.</w:t>
      </w:r>
    </w:p>
    <w:p w14:paraId="30649E29" w14:textId="77777777" w:rsidR="007A411C" w:rsidRDefault="007A411C" w:rsidP="007A411C">
      <w:pPr>
        <w:pStyle w:val="ListParagraph"/>
        <w:numPr>
          <w:ilvl w:val="0"/>
          <w:numId w:val="42"/>
        </w:numPr>
        <w:autoSpaceDE/>
        <w:autoSpaceDN/>
        <w:adjustRightInd/>
        <w:spacing w:after="160" w:line="256" w:lineRule="auto"/>
        <w:ind w:left="1440"/>
      </w:pPr>
      <w:r>
        <w:t>No required public hearing shall be scheduled, nor shall construction plans be approved for any phase of the PD until the potable water and fire flow calculations and modeling for that phase have been deemed sufficient by the City Manager or their designee.</w:t>
      </w:r>
    </w:p>
    <w:p w14:paraId="1F1453CD" w14:textId="77777777" w:rsidR="007A411C" w:rsidRDefault="007A411C" w:rsidP="007A411C">
      <w:pPr>
        <w:pStyle w:val="ListParagraph"/>
        <w:numPr>
          <w:ilvl w:val="0"/>
          <w:numId w:val="42"/>
        </w:numPr>
        <w:autoSpaceDE/>
        <w:autoSpaceDN/>
        <w:adjustRightInd/>
        <w:spacing w:after="160" w:line="256" w:lineRule="auto"/>
        <w:ind w:left="1440"/>
      </w:pPr>
      <w:r>
        <w:t>Prior to the approval of construction plans or commencement of any work onsite, whichever comes first, the Developer shall coordinate with the City regarding the lift station(s) to best serve the project and neighboring properties which may include an off-site location.</w:t>
      </w:r>
    </w:p>
    <w:p w14:paraId="69DFAF32" w14:textId="77777777" w:rsidR="007A411C" w:rsidRDefault="007A411C" w:rsidP="007A411C">
      <w:pPr>
        <w:pStyle w:val="ListParagraph"/>
        <w:numPr>
          <w:ilvl w:val="0"/>
          <w:numId w:val="42"/>
        </w:numPr>
        <w:autoSpaceDE/>
        <w:autoSpaceDN/>
        <w:adjustRightInd/>
        <w:spacing w:after="160" w:line="256" w:lineRule="auto"/>
        <w:ind w:left="1440"/>
      </w:pPr>
      <w:r>
        <w:t>No lift station well may be greater than 24 feet in depth as measured from the adjacent grade one (1) foot from the opening.</w:t>
      </w:r>
    </w:p>
    <w:p w14:paraId="4550F531" w14:textId="77777777" w:rsidR="007A411C" w:rsidRDefault="007A411C" w:rsidP="007A411C">
      <w:pPr>
        <w:pStyle w:val="ListParagraph"/>
        <w:numPr>
          <w:ilvl w:val="0"/>
          <w:numId w:val="42"/>
        </w:numPr>
        <w:autoSpaceDE/>
        <w:autoSpaceDN/>
        <w:adjustRightInd/>
        <w:spacing w:after="160" w:line="256" w:lineRule="auto"/>
        <w:ind w:left="1440"/>
      </w:pPr>
      <w:r>
        <w:t>If the City requires oversizing of lines to serve other properties, the difference in cost for the oversizing shall be borne by the City. The City shall have final determination of all costs and values related to oversizing.</w:t>
      </w:r>
    </w:p>
    <w:p w14:paraId="4DDB4572" w14:textId="77777777" w:rsidR="007A411C" w:rsidRDefault="007A411C" w:rsidP="007A411C">
      <w:pPr>
        <w:pStyle w:val="ListParagraph"/>
        <w:numPr>
          <w:ilvl w:val="0"/>
          <w:numId w:val="42"/>
        </w:numPr>
        <w:autoSpaceDE/>
        <w:autoSpaceDN/>
        <w:adjustRightInd/>
        <w:spacing w:after="160" w:line="256" w:lineRule="auto"/>
        <w:ind w:left="1440"/>
      </w:pPr>
      <w:r>
        <w:t>Wastewater backwater valves are prohibited.</w:t>
      </w:r>
    </w:p>
    <w:p w14:paraId="70040EC9" w14:textId="77777777" w:rsidR="007A411C" w:rsidRDefault="007A411C" w:rsidP="007A411C">
      <w:pPr>
        <w:pStyle w:val="ListParagraph"/>
        <w:numPr>
          <w:ilvl w:val="0"/>
          <w:numId w:val="42"/>
        </w:numPr>
        <w:autoSpaceDE/>
        <w:autoSpaceDN/>
        <w:adjustRightInd/>
        <w:spacing w:after="160" w:line="256" w:lineRule="auto"/>
        <w:ind w:left="1440"/>
      </w:pPr>
      <w:r>
        <w:t xml:space="preserve">All wastewater utility system structures shown on the Preliminary Utility Service Plan as provided in Section 3.1 shall be required to establish stub connections to adjacent parcels.  </w:t>
      </w:r>
    </w:p>
    <w:p w14:paraId="66B83632" w14:textId="77777777" w:rsidR="007A411C" w:rsidRDefault="007A411C" w:rsidP="007A411C">
      <w:pPr>
        <w:pStyle w:val="ListParagraph"/>
        <w:ind w:left="360"/>
        <w:rPr>
          <w:b/>
          <w:bCs/>
          <w:i/>
          <w:iCs/>
        </w:rPr>
      </w:pPr>
    </w:p>
    <w:p w14:paraId="4403FBB3" w14:textId="77777777" w:rsidR="007A411C" w:rsidRDefault="007A411C" w:rsidP="007A411C">
      <w:pPr>
        <w:pStyle w:val="ListParagraph"/>
        <w:ind w:left="360"/>
        <w:rPr>
          <w:b/>
          <w:bCs/>
          <w:i/>
          <w:iCs/>
        </w:rPr>
      </w:pPr>
      <w:r>
        <w:rPr>
          <w:b/>
          <w:bCs/>
          <w:i/>
          <w:iCs/>
        </w:rPr>
        <w:t xml:space="preserve">3.6.4 Traffic circulation/mobility. </w:t>
      </w:r>
    </w:p>
    <w:p w14:paraId="67DBCC34" w14:textId="77777777" w:rsidR="007A411C" w:rsidRDefault="007A411C" w:rsidP="007A411C">
      <w:pPr>
        <w:pStyle w:val="ListParagraph"/>
        <w:numPr>
          <w:ilvl w:val="0"/>
          <w:numId w:val="43"/>
        </w:numPr>
        <w:autoSpaceDE/>
        <w:autoSpaceDN/>
        <w:adjustRightInd/>
        <w:spacing w:after="160" w:line="256" w:lineRule="auto"/>
        <w:ind w:left="1440"/>
      </w:pPr>
      <w:r>
        <w:t>The PD must comply with the procedures for concurrency determination and mitigate any transportation impacts as set forth in the City of Newberry Land Development Regulations. Transportation enhancements will be based on a cumulative inventory of units included in the Final Development Plan and monitoring of Florida Department of Transportation annual counts for US-41/State Road 27/45 as well as affected Alachua County roadways, as determined by the traffic study, report, statement, or impact analysis.</w:t>
      </w:r>
    </w:p>
    <w:p w14:paraId="7635E059" w14:textId="77777777" w:rsidR="007A411C" w:rsidRDefault="007A411C" w:rsidP="007A411C">
      <w:pPr>
        <w:pStyle w:val="ListParagraph"/>
        <w:numPr>
          <w:ilvl w:val="0"/>
          <w:numId w:val="43"/>
        </w:numPr>
        <w:autoSpaceDE/>
        <w:autoSpaceDN/>
        <w:adjustRightInd/>
        <w:spacing w:after="160" w:line="256" w:lineRule="auto"/>
        <w:ind w:left="1440"/>
      </w:pPr>
      <w:r>
        <w:t xml:space="preserve">A traffic study has been prepared by VHB. For planning purposes, the study identified roadway segments that are not expected to operate within the adopted level of service standards under each development phase under future background (non-project traffic) and PD buildout traffic conditions. </w:t>
      </w:r>
    </w:p>
    <w:p w14:paraId="0BECA109" w14:textId="77777777" w:rsidR="007A411C" w:rsidRDefault="007A411C" w:rsidP="007A411C">
      <w:pPr>
        <w:pStyle w:val="ListParagraph"/>
        <w:numPr>
          <w:ilvl w:val="0"/>
          <w:numId w:val="43"/>
        </w:numPr>
        <w:autoSpaceDE/>
        <w:autoSpaceDN/>
        <w:adjustRightInd/>
        <w:spacing w:after="160" w:line="256" w:lineRule="auto"/>
        <w:ind w:left="1440"/>
      </w:pPr>
      <w:r>
        <w:t>Required improvements to the external road facilities not under jurisdictional control of the City shall be coordinated with the entity having jurisdictional control of the rights-of-way. These off-site improvements are not eligible for impact fee credits from the City.</w:t>
      </w:r>
    </w:p>
    <w:p w14:paraId="0FEA7C90" w14:textId="77777777" w:rsidR="007A411C" w:rsidRDefault="007A411C" w:rsidP="007A411C">
      <w:pPr>
        <w:pStyle w:val="ListParagraph"/>
        <w:numPr>
          <w:ilvl w:val="0"/>
          <w:numId w:val="43"/>
        </w:numPr>
        <w:autoSpaceDE/>
        <w:autoSpaceDN/>
        <w:adjustRightInd/>
        <w:spacing w:after="160" w:line="256" w:lineRule="auto"/>
        <w:ind w:left="1440"/>
      </w:pPr>
      <w:r>
        <w:t xml:space="preserve">Construction of right-of-way improvements deemed necessary by the United States Department of Transportation, Florida Department of Transportation or Alachua County Public Works shall be in accordance with the respective access management, safety and operation standards, as amended, adopted by those agencies. In no </w:t>
      </w:r>
      <w:proofErr w:type="gramStart"/>
      <w:r>
        <w:t>case,</w:t>
      </w:r>
      <w:proofErr w:type="gramEnd"/>
      <w:r>
        <w:t xml:space="preserve"> shall those improvements be of a lower standard than those established in the Land Development Regulations, as amended.</w:t>
      </w:r>
    </w:p>
    <w:p w14:paraId="31B94CD2" w14:textId="77777777" w:rsidR="007A411C" w:rsidRDefault="007A411C" w:rsidP="007A411C">
      <w:pPr>
        <w:pStyle w:val="ListParagraph"/>
        <w:numPr>
          <w:ilvl w:val="0"/>
          <w:numId w:val="43"/>
        </w:numPr>
        <w:autoSpaceDE/>
        <w:autoSpaceDN/>
        <w:adjustRightInd/>
        <w:spacing w:after="160" w:line="256" w:lineRule="auto"/>
        <w:ind w:left="1440"/>
      </w:pPr>
      <w:r>
        <w:t>In the event traffic impacts from the development of the PD require mitigation in the form of acceleration/deceleration lanes, turning bays, bus stops, improved crosswalks, sidewalks, or other such measures as deemed to be necessary by the Florida Department of Transportation or the City, the Developer agrees to provide such mitigation improvements or measures.</w:t>
      </w:r>
    </w:p>
    <w:p w14:paraId="2CC4EA15" w14:textId="77777777" w:rsidR="007A411C" w:rsidRDefault="007A411C" w:rsidP="007A411C">
      <w:pPr>
        <w:pStyle w:val="ListParagraph"/>
        <w:numPr>
          <w:ilvl w:val="0"/>
          <w:numId w:val="43"/>
        </w:numPr>
        <w:autoSpaceDE/>
        <w:autoSpaceDN/>
        <w:adjustRightInd/>
        <w:spacing w:after="160" w:line="256" w:lineRule="auto"/>
        <w:ind w:left="1440"/>
      </w:pPr>
      <w:r>
        <w:t>Dedication of right-of-way shall be by dedication on the face of the plat.</w:t>
      </w:r>
    </w:p>
    <w:p w14:paraId="195500A5" w14:textId="77777777" w:rsidR="007A411C" w:rsidRDefault="007A411C" w:rsidP="007A411C">
      <w:pPr>
        <w:pStyle w:val="ListParagraph"/>
        <w:numPr>
          <w:ilvl w:val="0"/>
          <w:numId w:val="43"/>
        </w:numPr>
        <w:autoSpaceDE/>
        <w:autoSpaceDN/>
        <w:adjustRightInd/>
        <w:spacing w:after="160" w:line="256" w:lineRule="auto"/>
        <w:ind w:left="1440"/>
      </w:pPr>
      <w:r>
        <w:t xml:space="preserve">The multi-use trail along the CSX railroad shall have open access and connection to a public sidewalk on Northwest 46 Avenue and, at the southern terminus, shall be paved or improved to the southernmost intersecting PD boundary-limit line and posted with signage stating “FUTURE </w:t>
      </w:r>
      <w:r>
        <w:lastRenderedPageBreak/>
        <w:t>THRU TRAIL” on metal reflective signage affixed to a metal post permanently secured to the ground. Lettering shall be at least 2 inches in height.</w:t>
      </w:r>
    </w:p>
    <w:p w14:paraId="6D068BB0" w14:textId="77777777" w:rsidR="007A411C" w:rsidRDefault="007A411C" w:rsidP="007A411C">
      <w:pPr>
        <w:pStyle w:val="ListParagraph"/>
        <w:numPr>
          <w:ilvl w:val="0"/>
          <w:numId w:val="43"/>
        </w:numPr>
        <w:autoSpaceDE/>
        <w:autoSpaceDN/>
        <w:adjustRightInd/>
        <w:spacing w:after="160" w:line="256" w:lineRule="auto"/>
        <w:ind w:left="1440"/>
      </w:pPr>
      <w:r>
        <w:t>If the multi-use trail encumbers CSX railroad right-of-way, it shall be the incumbent upon the Developer to obtain permissions in writing for use of the railroad right-of-way for a multi-use trail in a form acceptable to the City Attorney and delivered to the City prior to the approval of construction plans for the initial phase.</w:t>
      </w:r>
    </w:p>
    <w:p w14:paraId="2F29BF4C" w14:textId="77777777" w:rsidR="007A411C" w:rsidRDefault="007A411C" w:rsidP="007A411C">
      <w:pPr>
        <w:pStyle w:val="ListParagraph"/>
        <w:ind w:left="360"/>
        <w:rPr>
          <w:b/>
          <w:bCs/>
        </w:rPr>
      </w:pPr>
    </w:p>
    <w:p w14:paraId="6F9C90DC" w14:textId="77777777" w:rsidR="007A411C" w:rsidRDefault="007A411C" w:rsidP="007A411C">
      <w:pPr>
        <w:pStyle w:val="ListParagraph"/>
        <w:ind w:left="360"/>
        <w:rPr>
          <w:b/>
          <w:bCs/>
          <w:i/>
          <w:iCs/>
        </w:rPr>
      </w:pPr>
      <w:r>
        <w:rPr>
          <w:b/>
          <w:bCs/>
          <w:i/>
          <w:iCs/>
        </w:rPr>
        <w:t>3.6.5 Recreation.</w:t>
      </w:r>
    </w:p>
    <w:p w14:paraId="646E4859" w14:textId="77777777" w:rsidR="007A411C" w:rsidRDefault="007A411C" w:rsidP="007A411C">
      <w:pPr>
        <w:pStyle w:val="ListParagraph"/>
        <w:numPr>
          <w:ilvl w:val="0"/>
          <w:numId w:val="44"/>
        </w:numPr>
        <w:autoSpaceDE/>
        <w:autoSpaceDN/>
        <w:adjustRightInd/>
        <w:spacing w:after="160" w:line="256" w:lineRule="auto"/>
        <w:ind w:left="1440"/>
        <w:rPr>
          <w:color w:val="000000" w:themeColor="text1"/>
        </w:rPr>
      </w:pPr>
      <w:r>
        <w:rPr>
          <w:i/>
          <w:iCs/>
        </w:rPr>
        <w:t>Neighborhood parks.</w:t>
      </w:r>
      <w:r>
        <w:t xml:space="preserve"> The Developer shall provide a local park, trail, or recreational facilities within 2,800 feet of each residence. A map shall be provided at time of construction plan(s) submittal and may be on a phase-by-phase basis, which </w:t>
      </w:r>
      <w:r>
        <w:rPr>
          <w:color w:val="000000" w:themeColor="text1"/>
        </w:rPr>
        <w:t>demonstrates compliance with this requirement.</w:t>
      </w:r>
    </w:p>
    <w:p w14:paraId="75DA650E" w14:textId="77777777" w:rsidR="007A411C" w:rsidRDefault="007A411C" w:rsidP="007A411C">
      <w:pPr>
        <w:pStyle w:val="ListParagraph"/>
        <w:numPr>
          <w:ilvl w:val="0"/>
          <w:numId w:val="44"/>
        </w:numPr>
        <w:autoSpaceDE/>
        <w:autoSpaceDN/>
        <w:adjustRightInd/>
        <w:spacing w:after="160" w:line="256" w:lineRule="auto"/>
        <w:ind w:left="1440"/>
        <w:rPr>
          <w:color w:val="000000" w:themeColor="text1"/>
        </w:rPr>
      </w:pPr>
      <w:r>
        <w:rPr>
          <w:i/>
          <w:iCs/>
          <w:color w:val="000000" w:themeColor="text1"/>
        </w:rPr>
        <w:t>Community Recreation Elements.</w:t>
      </w:r>
      <w:r>
        <w:rPr>
          <w:color w:val="000000" w:themeColor="text1"/>
        </w:rPr>
        <w:t xml:space="preserve"> The developer may include, to the extent practicable, incorporation of the site’s natural topographic features and existing defining elements such as the north/south rail line within the property as Community Recreation Elements.</w:t>
      </w:r>
    </w:p>
    <w:p w14:paraId="5663CB69" w14:textId="77777777" w:rsidR="007A411C" w:rsidRDefault="007A411C" w:rsidP="007A411C">
      <w:pPr>
        <w:pStyle w:val="ListParagraph"/>
        <w:numPr>
          <w:ilvl w:val="0"/>
          <w:numId w:val="44"/>
        </w:numPr>
        <w:autoSpaceDE/>
        <w:autoSpaceDN/>
        <w:adjustRightInd/>
        <w:spacing w:after="160" w:line="256" w:lineRule="auto"/>
        <w:ind w:left="1440"/>
        <w:rPr>
          <w:color w:val="000000" w:themeColor="text1"/>
        </w:rPr>
      </w:pPr>
      <w:r>
        <w:rPr>
          <w:i/>
          <w:iCs/>
          <w:color w:val="000000" w:themeColor="text1"/>
        </w:rPr>
        <w:t>Recreation access</w:t>
      </w:r>
      <w:r>
        <w:rPr>
          <w:color w:val="000000" w:themeColor="text1"/>
        </w:rPr>
        <w:t>. The developer may, commensurate with different recreation elements and opportunities, such as but not limited to sports courts, swimming facilities, and training locations within the site charge a fee for access, use, and reservation.  This fee can be used for maintenance, expansion, and other uses.</w:t>
      </w:r>
    </w:p>
    <w:p w14:paraId="4D7F68C4" w14:textId="77777777" w:rsidR="007A411C" w:rsidRDefault="007A411C" w:rsidP="007A411C">
      <w:pPr>
        <w:pStyle w:val="ListParagraph"/>
        <w:numPr>
          <w:ilvl w:val="0"/>
          <w:numId w:val="44"/>
        </w:numPr>
        <w:autoSpaceDE/>
        <w:autoSpaceDN/>
        <w:adjustRightInd/>
        <w:spacing w:after="160" w:line="256" w:lineRule="auto"/>
        <w:ind w:left="1440"/>
        <w:rPr>
          <w:color w:val="000000" w:themeColor="text1"/>
        </w:rPr>
      </w:pPr>
      <w:r>
        <w:rPr>
          <w:color w:val="000000" w:themeColor="text1"/>
        </w:rPr>
        <w:t>Provision of parks and trails as depicted on the Preliminary Development Plan satisfy equivalencies of the local recreation Level of Service (LOS) requirements established by the Recreation and Open Space Element, City of Newberry Comprehensive Plan, as amended.</w:t>
      </w:r>
    </w:p>
    <w:p w14:paraId="2BE2F714" w14:textId="77777777" w:rsidR="007A411C" w:rsidRDefault="007A411C" w:rsidP="007A411C">
      <w:pPr>
        <w:pStyle w:val="ListParagraph"/>
        <w:ind w:left="360"/>
      </w:pPr>
    </w:p>
    <w:p w14:paraId="3D2D85DE" w14:textId="77777777" w:rsidR="007A411C" w:rsidRDefault="007A411C" w:rsidP="007A411C">
      <w:pPr>
        <w:pStyle w:val="ListParagraph"/>
        <w:ind w:left="360"/>
        <w:rPr>
          <w:b/>
          <w:bCs/>
          <w:i/>
          <w:iCs/>
        </w:rPr>
      </w:pPr>
      <w:r>
        <w:rPr>
          <w:b/>
          <w:bCs/>
          <w:i/>
          <w:iCs/>
        </w:rPr>
        <w:t>3.6.6 Schools.</w:t>
      </w:r>
    </w:p>
    <w:p w14:paraId="16757A0E" w14:textId="77777777" w:rsidR="007A411C" w:rsidRDefault="007A411C" w:rsidP="007A411C">
      <w:pPr>
        <w:pStyle w:val="ListParagraph"/>
        <w:numPr>
          <w:ilvl w:val="0"/>
          <w:numId w:val="45"/>
        </w:numPr>
        <w:autoSpaceDE/>
        <w:autoSpaceDN/>
        <w:adjustRightInd/>
        <w:spacing w:after="160" w:line="256" w:lineRule="auto"/>
        <w:ind w:left="1440"/>
      </w:pPr>
      <w:r>
        <w:t>The PD shall be required to meet school concurrency as determined by the Alachua County School Board, or the City of Newberry as circumstances may dictate, and shall provide mitigation if needed, as it relates to provision of student stations and facilities.</w:t>
      </w:r>
    </w:p>
    <w:p w14:paraId="33D82DD9" w14:textId="77777777" w:rsidR="007A411C" w:rsidRDefault="007A411C" w:rsidP="007A411C">
      <w:pPr>
        <w:pStyle w:val="ListParagraph"/>
        <w:numPr>
          <w:ilvl w:val="0"/>
          <w:numId w:val="45"/>
        </w:numPr>
        <w:autoSpaceDE/>
        <w:autoSpaceDN/>
        <w:adjustRightInd/>
        <w:spacing w:after="160" w:line="256" w:lineRule="auto"/>
        <w:ind w:left="1440"/>
      </w:pPr>
      <w:r>
        <w:t>The following concurrency management process for school concurrency shall apply to the PD if schools in the City of Newberry continue to be under the auspices of the Alachua County School Board:</w:t>
      </w:r>
    </w:p>
    <w:p w14:paraId="0763B19B" w14:textId="77777777" w:rsidR="007A411C" w:rsidRDefault="007A411C" w:rsidP="007A411C">
      <w:pPr>
        <w:pStyle w:val="ListParagraph"/>
        <w:numPr>
          <w:ilvl w:val="2"/>
          <w:numId w:val="39"/>
        </w:numPr>
        <w:autoSpaceDE/>
        <w:autoSpaceDN/>
        <w:adjustRightInd/>
        <w:spacing w:after="160" w:line="256" w:lineRule="auto"/>
      </w:pPr>
      <w:r>
        <w:t>At time of submittal of final plat of each phase, the City Manager or their designee shall complete and transmit to the Alachua County School Board the most recently published Public School Student Generation Calculation Form for review and response.</w:t>
      </w:r>
    </w:p>
    <w:p w14:paraId="16A13DA2" w14:textId="77777777" w:rsidR="007A411C" w:rsidRDefault="007A411C" w:rsidP="007A411C">
      <w:pPr>
        <w:pStyle w:val="ListParagraph"/>
        <w:numPr>
          <w:ilvl w:val="2"/>
          <w:numId w:val="39"/>
        </w:numPr>
        <w:autoSpaceDE/>
        <w:autoSpaceDN/>
        <w:adjustRightInd/>
        <w:spacing w:after="160" w:line="256" w:lineRule="auto"/>
      </w:pPr>
      <w:r>
        <w:t>The Alachua County School Board is required to provide a school capacity determination in a timely manner.</w:t>
      </w:r>
    </w:p>
    <w:p w14:paraId="42C63DC7" w14:textId="77777777" w:rsidR="007A411C" w:rsidRDefault="007A411C" w:rsidP="007A411C">
      <w:pPr>
        <w:pStyle w:val="ListParagraph"/>
        <w:numPr>
          <w:ilvl w:val="2"/>
          <w:numId w:val="39"/>
        </w:numPr>
        <w:autoSpaceDE/>
        <w:autoSpaceDN/>
        <w:adjustRightInd/>
        <w:spacing w:after="160" w:line="256" w:lineRule="auto"/>
      </w:pPr>
      <w:r>
        <w:t>Concurrency determinations and mitigation requirements shall be at the sole discretion of the Alachua County School Board.</w:t>
      </w:r>
    </w:p>
    <w:p w14:paraId="4A3CD189" w14:textId="77777777" w:rsidR="007A411C" w:rsidRDefault="007A411C" w:rsidP="007A411C">
      <w:pPr>
        <w:pStyle w:val="ListParagraph"/>
        <w:numPr>
          <w:ilvl w:val="2"/>
          <w:numId w:val="39"/>
        </w:numPr>
        <w:autoSpaceDE/>
        <w:autoSpaceDN/>
        <w:adjustRightInd/>
        <w:spacing w:after="160" w:line="256" w:lineRule="auto"/>
      </w:pPr>
      <w:r>
        <w:t>If mitigation is determined by the Alachua County School Board to be necessary, a tri-party interlocal agreement shall be entered into between the Developer, City, and Alachua County School Board.</w:t>
      </w:r>
    </w:p>
    <w:p w14:paraId="1A3F513C" w14:textId="77777777" w:rsidR="007A411C" w:rsidRDefault="007A411C" w:rsidP="007A411C">
      <w:pPr>
        <w:pStyle w:val="ListParagraph"/>
        <w:numPr>
          <w:ilvl w:val="0"/>
          <w:numId w:val="45"/>
        </w:numPr>
        <w:autoSpaceDE/>
        <w:autoSpaceDN/>
        <w:adjustRightInd/>
        <w:spacing w:after="160" w:line="256" w:lineRule="auto"/>
        <w:ind w:left="1440"/>
      </w:pPr>
      <w:r>
        <w:t>The following concurrency management process for school concurrency shall apply to the PD if schools in the City of Newberry convert to charter schools under the auspices of the City of Newberry or its lawful designee (“School Oversight Board”):</w:t>
      </w:r>
    </w:p>
    <w:p w14:paraId="0A1C23D2" w14:textId="77777777" w:rsidR="007A411C" w:rsidRDefault="007A411C" w:rsidP="007A411C">
      <w:pPr>
        <w:pStyle w:val="ListParagraph"/>
        <w:numPr>
          <w:ilvl w:val="0"/>
          <w:numId w:val="46"/>
        </w:numPr>
        <w:autoSpaceDE/>
        <w:autoSpaceDN/>
        <w:adjustRightInd/>
        <w:spacing w:after="160" w:line="256" w:lineRule="auto"/>
      </w:pPr>
      <w:r>
        <w:t>At time of submittal of final plat of each phase, the City Manager or their designee shall complete and transmit to the School Oversight Board for City of Newberry schools the most recently published Public School Student Generation Calculation Form for review and response.</w:t>
      </w:r>
    </w:p>
    <w:p w14:paraId="7496EB87" w14:textId="77777777" w:rsidR="007A411C" w:rsidRDefault="007A411C" w:rsidP="007A411C">
      <w:pPr>
        <w:pStyle w:val="ListParagraph"/>
        <w:numPr>
          <w:ilvl w:val="0"/>
          <w:numId w:val="46"/>
        </w:numPr>
        <w:autoSpaceDE/>
        <w:autoSpaceDN/>
        <w:adjustRightInd/>
        <w:spacing w:after="160" w:line="256" w:lineRule="auto"/>
      </w:pPr>
      <w:r>
        <w:t>The City of Newberry’s School Oversight Board is required to provide a school capacity determination in a timely manner.</w:t>
      </w:r>
    </w:p>
    <w:p w14:paraId="5CD69BBE" w14:textId="77777777" w:rsidR="007A411C" w:rsidRDefault="007A411C" w:rsidP="007A411C">
      <w:pPr>
        <w:pStyle w:val="ListParagraph"/>
        <w:numPr>
          <w:ilvl w:val="0"/>
          <w:numId w:val="46"/>
        </w:numPr>
        <w:autoSpaceDE/>
        <w:autoSpaceDN/>
        <w:adjustRightInd/>
        <w:spacing w:after="160" w:line="256" w:lineRule="auto"/>
      </w:pPr>
      <w:r>
        <w:t>Concurrency determinations and mitigation requirements shall be at the sole discretion of the School Oversight Board.</w:t>
      </w:r>
    </w:p>
    <w:p w14:paraId="3021B20C" w14:textId="77777777" w:rsidR="007A411C" w:rsidRDefault="007A411C" w:rsidP="007A411C">
      <w:pPr>
        <w:pStyle w:val="ListParagraph"/>
        <w:numPr>
          <w:ilvl w:val="0"/>
          <w:numId w:val="46"/>
        </w:numPr>
        <w:autoSpaceDE/>
        <w:autoSpaceDN/>
        <w:adjustRightInd/>
        <w:spacing w:after="160" w:line="256" w:lineRule="auto"/>
      </w:pPr>
      <w:r>
        <w:lastRenderedPageBreak/>
        <w:t>If mitigation is determined by the School Oversight Board to be necessary, an interlocal agreement shall be entered into between the Developer, City, and School Oversight Board (if a separate board from the City Commission).</w:t>
      </w:r>
    </w:p>
    <w:p w14:paraId="17B85107" w14:textId="77777777" w:rsidR="007A411C" w:rsidRDefault="007A411C" w:rsidP="007A411C">
      <w:pPr>
        <w:pStyle w:val="ListParagraph"/>
        <w:ind w:left="2160"/>
      </w:pPr>
    </w:p>
    <w:p w14:paraId="150924C8" w14:textId="77777777" w:rsidR="007A411C" w:rsidRDefault="007A411C" w:rsidP="007A411C">
      <w:pPr>
        <w:pStyle w:val="ListParagraph"/>
        <w:ind w:left="360"/>
        <w:rPr>
          <w:b/>
          <w:bCs/>
          <w:i/>
          <w:iCs/>
        </w:rPr>
      </w:pPr>
      <w:r>
        <w:rPr>
          <w:b/>
          <w:bCs/>
          <w:i/>
          <w:iCs/>
        </w:rPr>
        <w:t xml:space="preserve">3.6.7 Public Safety. </w:t>
      </w:r>
    </w:p>
    <w:p w14:paraId="1AD4B8B7" w14:textId="77777777" w:rsidR="007A411C" w:rsidRDefault="007A411C" w:rsidP="007A411C">
      <w:pPr>
        <w:pStyle w:val="ListParagraph"/>
        <w:numPr>
          <w:ilvl w:val="0"/>
          <w:numId w:val="47"/>
        </w:numPr>
        <w:autoSpaceDE/>
        <w:autoSpaceDN/>
        <w:adjustRightInd/>
        <w:spacing w:after="160" w:line="256" w:lineRule="auto"/>
        <w:ind w:left="1440"/>
      </w:pPr>
      <w:r>
        <w:t xml:space="preserve">The Developer shall provide the City with one (1) 2-acre site (“Fire Station Property”) for the purposes of construction of a Fire Station to serve the PD at a mutually agreed location to best serve the PD. The City may not sell all or part of the Fire Station Property; furthermore, the Fire Station Property shall revert to the Developer if the City has not constructed a Fire Station within 50 years of the Effective Date of this Development Order, and the City shall execute all instruments, releases and documents to </w:t>
      </w:r>
      <w:proofErr w:type="gramStart"/>
      <w:r>
        <w:t>effect</w:t>
      </w:r>
      <w:proofErr w:type="gramEnd"/>
      <w:r>
        <w:t xml:space="preserve"> such a reversion.</w:t>
      </w:r>
    </w:p>
    <w:p w14:paraId="6DBF16D3" w14:textId="77777777" w:rsidR="007A411C" w:rsidRDefault="007A411C" w:rsidP="007A411C">
      <w:pPr>
        <w:pStyle w:val="ListParagraph"/>
        <w:numPr>
          <w:ilvl w:val="0"/>
          <w:numId w:val="47"/>
        </w:numPr>
        <w:autoSpaceDE/>
        <w:autoSpaceDN/>
        <w:adjustRightInd/>
        <w:spacing w:after="160" w:line="256" w:lineRule="auto"/>
        <w:ind w:left="1440"/>
      </w:pPr>
      <w:r>
        <w:t>Timing of dedication or granting of the site and construction of the fire station shall be at the sole discretion of the City Manager or their designee as determined to be necessary to ensure the City’s Fire Department maintains desirable emergency call response times and ISO ratings.</w:t>
      </w:r>
    </w:p>
    <w:p w14:paraId="56DB8E64" w14:textId="77777777" w:rsidR="007A411C" w:rsidRDefault="007A411C" w:rsidP="007A411C">
      <w:pPr>
        <w:pStyle w:val="ListParagraph"/>
        <w:numPr>
          <w:ilvl w:val="0"/>
          <w:numId w:val="47"/>
        </w:numPr>
        <w:autoSpaceDE/>
        <w:autoSpaceDN/>
        <w:adjustRightInd/>
        <w:spacing w:after="160" w:line="256" w:lineRule="auto"/>
        <w:ind w:left="1440"/>
      </w:pPr>
      <w:r>
        <w:t>If at any time during future review and approval processes for this phased development, the City determines that the development within the project would reduce the city’s ISO rating, the Developer shall provide the City with one (1) additional 2-acre site.</w:t>
      </w:r>
    </w:p>
    <w:p w14:paraId="3FF28857" w14:textId="77777777" w:rsidR="007A411C" w:rsidRDefault="007A411C" w:rsidP="007A411C">
      <w:pPr>
        <w:pStyle w:val="ListParagraph"/>
        <w:ind w:left="1440"/>
      </w:pPr>
    </w:p>
    <w:p w14:paraId="56654EAA" w14:textId="77777777" w:rsidR="007A411C" w:rsidRDefault="007A411C" w:rsidP="007A411C">
      <w:pPr>
        <w:pStyle w:val="ListParagraph"/>
        <w:ind w:left="360"/>
        <w:rPr>
          <w:b/>
          <w:bCs/>
          <w:i/>
          <w:iCs/>
        </w:rPr>
      </w:pPr>
      <w:r>
        <w:rPr>
          <w:b/>
          <w:bCs/>
          <w:i/>
          <w:iCs/>
        </w:rPr>
        <w:t>3.6.8 Solid Waste.</w:t>
      </w:r>
    </w:p>
    <w:p w14:paraId="0787C087" w14:textId="77777777" w:rsidR="007A411C" w:rsidRDefault="007A411C" w:rsidP="007A411C">
      <w:pPr>
        <w:pStyle w:val="ListParagraph"/>
        <w:numPr>
          <w:ilvl w:val="0"/>
          <w:numId w:val="48"/>
        </w:numPr>
        <w:autoSpaceDE/>
        <w:autoSpaceDN/>
        <w:adjustRightInd/>
        <w:spacing w:after="160" w:line="256" w:lineRule="auto"/>
        <w:ind w:left="1440"/>
      </w:pPr>
      <w:r>
        <w:t>Solid waste collection within the PD will be initially supplied under private contract. Determination that sufficient capacity exists to serve the PD shall be provided by the service provider during the concurrency review process.</w:t>
      </w:r>
    </w:p>
    <w:p w14:paraId="7DF1BCAD" w14:textId="77777777" w:rsidR="007A411C" w:rsidRDefault="007A411C" w:rsidP="007A411C">
      <w:pPr>
        <w:rPr>
          <w:b/>
          <w:bCs/>
          <w:i/>
          <w:iCs/>
        </w:rPr>
      </w:pPr>
      <w:r>
        <w:rPr>
          <w:b/>
          <w:bCs/>
        </w:rPr>
        <w:t>Section 3.7. Streets, stormwater facilities, and common open space</w:t>
      </w:r>
      <w:r>
        <w:rPr>
          <w:b/>
          <w:bCs/>
          <w:i/>
          <w:iCs/>
        </w:rPr>
        <w:t>.</w:t>
      </w:r>
    </w:p>
    <w:p w14:paraId="3DE03D8C" w14:textId="77777777" w:rsidR="007A411C" w:rsidRDefault="007A411C" w:rsidP="007A411C">
      <w:pPr>
        <w:pStyle w:val="ListParagraph"/>
        <w:ind w:left="360"/>
        <w:rPr>
          <w:b/>
          <w:bCs/>
          <w:i/>
          <w:iCs/>
        </w:rPr>
      </w:pPr>
      <w:r>
        <w:rPr>
          <w:b/>
          <w:bCs/>
          <w:i/>
          <w:iCs/>
        </w:rPr>
        <w:t xml:space="preserve">3.7.1 Streets. </w:t>
      </w:r>
    </w:p>
    <w:p w14:paraId="5EA5F1B5" w14:textId="77777777" w:rsidR="007A411C" w:rsidRDefault="007A411C" w:rsidP="007A411C">
      <w:pPr>
        <w:pStyle w:val="ListParagraph"/>
        <w:numPr>
          <w:ilvl w:val="1"/>
          <w:numId w:val="49"/>
        </w:numPr>
        <w:autoSpaceDE/>
        <w:autoSpaceDN/>
        <w:adjustRightInd/>
        <w:spacing w:after="160" w:line="256" w:lineRule="auto"/>
      </w:pPr>
      <w:r>
        <w:t xml:space="preserve">The PD shall be served internally with an interconnected network of streets and multi-use paths that conform to the transportation standards contained in </w:t>
      </w:r>
      <w:proofErr w:type="gramStart"/>
      <w:r>
        <w:t>City</w:t>
      </w:r>
      <w:proofErr w:type="gramEnd"/>
      <w:r>
        <w:t xml:space="preserve"> of Newberry Land Development Regulations. As required by the Comprehensive Plan, the development within the PD shall be designed to be traffic-calmed and pedestrian and bicycle friendly with specific strategies to be identified as a part of each Final Development Plan.  To minimize traffic impacts on US 41/27, development plans and subdivision plans shall maximize internal roadway connectivity between residential areas and areas with commercial uses.</w:t>
      </w:r>
    </w:p>
    <w:p w14:paraId="1F36A265" w14:textId="77777777" w:rsidR="007A411C" w:rsidRDefault="007A411C" w:rsidP="007A411C">
      <w:pPr>
        <w:pStyle w:val="ListParagraph"/>
        <w:numPr>
          <w:ilvl w:val="1"/>
          <w:numId w:val="49"/>
        </w:numPr>
        <w:autoSpaceDE/>
        <w:autoSpaceDN/>
        <w:adjustRightInd/>
        <w:spacing w:after="160" w:line="256" w:lineRule="auto"/>
      </w:pPr>
      <w:r>
        <w:t xml:space="preserve">Every dwelling unit or other use permitted in the PD shall have a legal means of ingress and egress by way of public or private right-of-way, which meets the minimum requirements of the City’s Land Development Regulations. </w:t>
      </w:r>
    </w:p>
    <w:p w14:paraId="0E00B6EA" w14:textId="77777777" w:rsidR="007A411C" w:rsidRDefault="007A411C" w:rsidP="007A411C">
      <w:pPr>
        <w:pStyle w:val="ListParagraph"/>
        <w:numPr>
          <w:ilvl w:val="1"/>
          <w:numId w:val="49"/>
        </w:numPr>
        <w:autoSpaceDE/>
        <w:autoSpaceDN/>
        <w:adjustRightInd/>
        <w:spacing w:after="160" w:line="256" w:lineRule="auto"/>
      </w:pPr>
      <w:r>
        <w:t>All roadways, rights-of-way, and places of travel, as shown on the Preliminary Development Plan and Preliminary Utility Service Plan, shall be constructed by the Developer and may be dedicated to the public.</w:t>
      </w:r>
    </w:p>
    <w:p w14:paraId="4C75E7A7" w14:textId="77777777" w:rsidR="007A411C" w:rsidRDefault="007A411C" w:rsidP="007A411C">
      <w:pPr>
        <w:pStyle w:val="ListParagraph"/>
        <w:numPr>
          <w:ilvl w:val="1"/>
          <w:numId w:val="49"/>
        </w:numPr>
        <w:autoSpaceDE/>
        <w:autoSpaceDN/>
        <w:adjustRightInd/>
        <w:spacing w:after="160" w:line="256" w:lineRule="auto"/>
      </w:pPr>
      <w:r>
        <w:t xml:space="preserve">All public roads shall be constructed in conformance with Section 5.26 of the City of Newberry Land Development Regulations. </w:t>
      </w:r>
    </w:p>
    <w:p w14:paraId="6244D7CB" w14:textId="77777777" w:rsidR="007A411C" w:rsidRDefault="007A411C" w:rsidP="007A411C">
      <w:pPr>
        <w:pStyle w:val="ListParagraph"/>
        <w:numPr>
          <w:ilvl w:val="1"/>
          <w:numId w:val="49"/>
        </w:numPr>
        <w:autoSpaceDE/>
        <w:autoSpaceDN/>
        <w:adjustRightInd/>
        <w:spacing w:after="160" w:line="256" w:lineRule="auto"/>
      </w:pPr>
      <w:r>
        <w:t>If local roads are not dedicated to the public, they shall be maintained by the Property Owners Association and/or Community Development District and shall otherwise meet the minimum standards provided above and established in Appendix B, Article 5, Section 5.26 of the City of Newberry Code of Ordinances.</w:t>
      </w:r>
    </w:p>
    <w:p w14:paraId="061776B1" w14:textId="77777777" w:rsidR="007A411C" w:rsidRDefault="007A411C" w:rsidP="007A411C">
      <w:pPr>
        <w:pStyle w:val="ListParagraph"/>
        <w:numPr>
          <w:ilvl w:val="1"/>
          <w:numId w:val="49"/>
        </w:numPr>
        <w:autoSpaceDE/>
        <w:autoSpaceDN/>
        <w:adjustRightInd/>
        <w:spacing w:after="160" w:line="256" w:lineRule="auto"/>
      </w:pPr>
      <w:r>
        <w:t>All roads internal to the development which are necessary to provide access to individual lots or attractions are not eligible for impact fee credits.</w:t>
      </w:r>
    </w:p>
    <w:p w14:paraId="4D312603" w14:textId="77777777" w:rsidR="007A411C" w:rsidRDefault="007A411C" w:rsidP="007A411C">
      <w:pPr>
        <w:pStyle w:val="ListParagraph"/>
        <w:numPr>
          <w:ilvl w:val="1"/>
          <w:numId w:val="49"/>
        </w:numPr>
        <w:autoSpaceDE/>
        <w:autoSpaceDN/>
        <w:adjustRightInd/>
        <w:spacing w:after="160" w:line="256" w:lineRule="auto"/>
      </w:pPr>
      <w:r>
        <w:t>The roadway labeled as “Main Collector” on the Preliminary Development Plan shall have a minimum right of way of one hundred (100) feet.</w:t>
      </w:r>
    </w:p>
    <w:p w14:paraId="718C2664" w14:textId="77777777" w:rsidR="007A411C" w:rsidRDefault="007A411C" w:rsidP="007A411C">
      <w:pPr>
        <w:pStyle w:val="ListParagraph"/>
        <w:numPr>
          <w:ilvl w:val="1"/>
          <w:numId w:val="49"/>
        </w:numPr>
        <w:autoSpaceDE/>
        <w:autoSpaceDN/>
        <w:adjustRightInd/>
        <w:spacing w:after="160" w:line="256" w:lineRule="auto"/>
      </w:pPr>
      <w:r>
        <w:t xml:space="preserve">All local roadways hereinafter developed (if dedicated to the public) shall have a minimum wearing surface of twenty (20) feet and a minimum right of way of sixty (60) feet. </w:t>
      </w:r>
    </w:p>
    <w:p w14:paraId="28A9BA59" w14:textId="77777777" w:rsidR="007A411C" w:rsidRDefault="007A411C" w:rsidP="007A411C">
      <w:pPr>
        <w:pStyle w:val="ListParagraph"/>
        <w:numPr>
          <w:ilvl w:val="1"/>
          <w:numId w:val="49"/>
        </w:numPr>
        <w:autoSpaceDE/>
        <w:autoSpaceDN/>
        <w:adjustRightInd/>
        <w:spacing w:after="160" w:line="256" w:lineRule="auto"/>
      </w:pPr>
      <w:r>
        <w:t xml:space="preserve">Pursuant to Appendix B, Article 5, Sections 5.26.1 of the City of Newberry Code of Ordinances, entitled “Streets,” at the time of platting, the Developer shall dedicate to the City of Newberry an </w:t>
      </w:r>
      <w:r>
        <w:lastRenderedPageBreak/>
        <w:t xml:space="preserve">80-foot right-of-way along section lines internal to the development or 40-foot rights-of-way for those section lines aligned with the boundary limits of the PD. </w:t>
      </w:r>
    </w:p>
    <w:p w14:paraId="125EB117" w14:textId="77777777" w:rsidR="007A411C" w:rsidRDefault="007A411C" w:rsidP="007A411C">
      <w:pPr>
        <w:pStyle w:val="ListParagraph"/>
        <w:numPr>
          <w:ilvl w:val="1"/>
          <w:numId w:val="49"/>
        </w:numPr>
        <w:autoSpaceDE/>
        <w:autoSpaceDN/>
        <w:adjustRightInd/>
        <w:spacing w:after="160" w:line="256" w:lineRule="auto"/>
      </w:pPr>
      <w:r>
        <w:rPr>
          <w:i/>
          <w:iCs/>
        </w:rPr>
        <w:t>On-Street Parking</w:t>
      </w:r>
      <w:r>
        <w:t xml:space="preserve">. </w:t>
      </w:r>
    </w:p>
    <w:p w14:paraId="55BC8124" w14:textId="77777777" w:rsidR="007A411C" w:rsidRDefault="007A411C" w:rsidP="007A411C">
      <w:pPr>
        <w:pStyle w:val="ListParagraph"/>
        <w:numPr>
          <w:ilvl w:val="2"/>
          <w:numId w:val="49"/>
        </w:numPr>
        <w:autoSpaceDE/>
        <w:autoSpaceDN/>
        <w:adjustRightInd/>
        <w:spacing w:after="160" w:line="256" w:lineRule="auto"/>
        <w:ind w:left="1800"/>
      </w:pPr>
      <w:r>
        <w:t>On improved road surfaces greater than 32 feet of improved driving width as measured from face of curb to face of curb or edge of asphalt to edge of asphalt, on-street parking shall be permitted on both sides of the street.</w:t>
      </w:r>
    </w:p>
    <w:p w14:paraId="3BB32E5A" w14:textId="77777777" w:rsidR="007A411C" w:rsidRDefault="007A411C" w:rsidP="007A411C">
      <w:pPr>
        <w:pStyle w:val="ListParagraph"/>
        <w:numPr>
          <w:ilvl w:val="2"/>
          <w:numId w:val="49"/>
        </w:numPr>
        <w:autoSpaceDE/>
        <w:autoSpaceDN/>
        <w:adjustRightInd/>
        <w:spacing w:after="160" w:line="256" w:lineRule="auto"/>
        <w:ind w:left="1800"/>
      </w:pPr>
      <w:r>
        <w:t>On improved road surfaces greater than 24 feet, but less than 32 feet, of improved driving width as measured from face of curb to face of curb or edge of asphalt to edge of asphalt, on-street parking shall be permitted on one side of the street and must alternate more than every 220 feet of continuous aisle of on-street parking.</w:t>
      </w:r>
    </w:p>
    <w:p w14:paraId="6405F83A" w14:textId="77777777" w:rsidR="007A411C" w:rsidRDefault="007A411C" w:rsidP="007A411C">
      <w:pPr>
        <w:pStyle w:val="ListParagraph"/>
        <w:numPr>
          <w:ilvl w:val="2"/>
          <w:numId w:val="49"/>
        </w:numPr>
        <w:autoSpaceDE/>
        <w:autoSpaceDN/>
        <w:adjustRightInd/>
        <w:spacing w:after="160" w:line="256" w:lineRule="auto"/>
        <w:ind w:left="1800"/>
      </w:pPr>
      <w:r>
        <w:t>On-street parking shall be prohibited on improved road surfaces less than 24 feet wide as measured from face to face of curb or, in the absence of curbing, edge to edge of asphalt.</w:t>
      </w:r>
    </w:p>
    <w:p w14:paraId="5410B87D" w14:textId="77777777" w:rsidR="007A411C" w:rsidRDefault="007A411C" w:rsidP="007A411C">
      <w:pPr>
        <w:pStyle w:val="ListParagraph"/>
        <w:numPr>
          <w:ilvl w:val="2"/>
          <w:numId w:val="49"/>
        </w:numPr>
        <w:autoSpaceDE/>
        <w:autoSpaceDN/>
        <w:adjustRightInd/>
        <w:spacing w:after="160" w:line="256" w:lineRule="auto"/>
        <w:ind w:left="1800"/>
      </w:pPr>
      <w:r>
        <w:t>Each alternating aisle of on-street parking must begin and end with a landscaped bulb-out measuring 80 square feet in area and containing a drought tolerant deciduous native tree species consistent with the City’s Tree Ordinance or if within a sight triangle, drought tolerant native shrubs, ground cover, and/or pervious pavers (any combination thereof) may replace the tree.</w:t>
      </w:r>
    </w:p>
    <w:p w14:paraId="20827113" w14:textId="77777777" w:rsidR="007A411C" w:rsidRDefault="007A411C" w:rsidP="007A411C">
      <w:pPr>
        <w:pStyle w:val="ListParagraph"/>
        <w:numPr>
          <w:ilvl w:val="2"/>
          <w:numId w:val="49"/>
        </w:numPr>
        <w:autoSpaceDE/>
        <w:autoSpaceDN/>
        <w:adjustRightInd/>
        <w:spacing w:after="160" w:line="256" w:lineRule="auto"/>
        <w:ind w:left="1800"/>
      </w:pPr>
      <w:r>
        <w:t>Driveways for adjacent lots shall be oriented on the joining property line to minimize the impact of curb-cuts and driveway aprons on the provisions of on-street parking.</w:t>
      </w:r>
    </w:p>
    <w:p w14:paraId="47389B53" w14:textId="77777777" w:rsidR="007A411C" w:rsidRDefault="007A411C" w:rsidP="007A411C">
      <w:pPr>
        <w:pStyle w:val="ListParagraph"/>
        <w:numPr>
          <w:ilvl w:val="1"/>
          <w:numId w:val="49"/>
        </w:numPr>
        <w:autoSpaceDE/>
        <w:autoSpaceDN/>
        <w:adjustRightInd/>
        <w:spacing w:after="160" w:line="256" w:lineRule="auto"/>
      </w:pPr>
      <w:r>
        <w:t>No linear length of roadway may be greater than 500 feet without incorporating traffic calming measures to include, but not limited to, chicanes, staggered on-street parking, curves not greater than 50-foot radii excluding driveway(s) and street intersection(s), and/or raised intersection(s).</w:t>
      </w:r>
    </w:p>
    <w:p w14:paraId="61ABAC8C" w14:textId="77777777" w:rsidR="007A411C" w:rsidRDefault="007A411C" w:rsidP="007A411C">
      <w:pPr>
        <w:pStyle w:val="ListParagraph"/>
        <w:numPr>
          <w:ilvl w:val="1"/>
          <w:numId w:val="49"/>
        </w:numPr>
        <w:autoSpaceDE/>
        <w:autoSpaceDN/>
        <w:adjustRightInd/>
        <w:spacing w:after="160" w:line="256" w:lineRule="auto"/>
      </w:pPr>
      <w:r>
        <w:t xml:space="preserve">All roadway connections shown to adjacent parcels on the Preliminary Development Plan as provided in Section 3.1 shall be required to establish stub connections to adjacent parcels.  </w:t>
      </w:r>
    </w:p>
    <w:p w14:paraId="12075832" w14:textId="77777777" w:rsidR="007A411C" w:rsidRDefault="007A411C" w:rsidP="007A411C">
      <w:pPr>
        <w:pStyle w:val="ListParagraph"/>
        <w:numPr>
          <w:ilvl w:val="1"/>
          <w:numId w:val="49"/>
        </w:numPr>
        <w:autoSpaceDE/>
        <w:autoSpaceDN/>
        <w:adjustRightInd/>
        <w:spacing w:after="160" w:line="256" w:lineRule="auto"/>
      </w:pPr>
      <w:r>
        <w:rPr>
          <w:i/>
          <w:iCs/>
        </w:rPr>
        <w:t>Street Lighting</w:t>
      </w:r>
      <w:r>
        <w:t xml:space="preserve">. A Lighting Standards Plan shall be submitted as a part of the first Final Development Plan application for the project and shall establish light fixture standards for all street and pedestrian lighting within the PD that will ensure uniformity of design throughout the PD. If co-location of light fixtures with antennae or other communications equipment is anticipated, the standards plan shall also include mounting/design standards for such uses. All street and pedestrian lights shall conform to the light fixture standards once established for the PD and shall be limited to give night sky effect throughout the PD.  </w:t>
      </w:r>
    </w:p>
    <w:p w14:paraId="3ECF27C4" w14:textId="77777777" w:rsidR="007A411C" w:rsidRDefault="007A411C" w:rsidP="007A411C">
      <w:pPr>
        <w:pStyle w:val="ListParagraph"/>
        <w:numPr>
          <w:ilvl w:val="1"/>
          <w:numId w:val="49"/>
        </w:numPr>
        <w:autoSpaceDE/>
        <w:autoSpaceDN/>
        <w:adjustRightInd/>
        <w:spacing w:after="160" w:line="256" w:lineRule="auto"/>
      </w:pPr>
      <w:r>
        <w:t>A Specific Lighting Plan shall be submitted as a part of each Final Development Plan application for that portion of the PD that includes the height, number, and type of all lighting fixtures to be installed and identifies any potential conflicts between the location of lighting structures and other necessary infrastructure, not including franchise utilities like cable/internet service providers.</w:t>
      </w:r>
    </w:p>
    <w:p w14:paraId="2C356D7C" w14:textId="77777777" w:rsidR="007A411C" w:rsidRDefault="007A411C" w:rsidP="007A411C">
      <w:pPr>
        <w:pStyle w:val="ListParagraph"/>
        <w:ind w:left="360"/>
        <w:rPr>
          <w:b/>
          <w:bCs/>
          <w:i/>
          <w:iCs/>
        </w:rPr>
      </w:pPr>
    </w:p>
    <w:p w14:paraId="18B5FB60" w14:textId="77777777" w:rsidR="007A411C" w:rsidRDefault="007A411C" w:rsidP="007A411C">
      <w:pPr>
        <w:pStyle w:val="ListParagraph"/>
        <w:ind w:left="360"/>
        <w:rPr>
          <w:b/>
          <w:bCs/>
          <w:i/>
          <w:iCs/>
        </w:rPr>
      </w:pPr>
      <w:r>
        <w:rPr>
          <w:b/>
          <w:bCs/>
          <w:i/>
          <w:iCs/>
        </w:rPr>
        <w:t xml:space="preserve">3.7.2 Stormwater facilities. </w:t>
      </w:r>
    </w:p>
    <w:p w14:paraId="187956BD" w14:textId="77777777" w:rsidR="007A411C" w:rsidRDefault="007A411C" w:rsidP="007A411C">
      <w:pPr>
        <w:pStyle w:val="ListParagraph"/>
        <w:numPr>
          <w:ilvl w:val="0"/>
          <w:numId w:val="50"/>
        </w:numPr>
        <w:autoSpaceDE/>
        <w:autoSpaceDN/>
        <w:adjustRightInd/>
        <w:spacing w:after="160" w:line="256" w:lineRule="auto"/>
      </w:pPr>
      <w:r>
        <w:t xml:space="preserve">Stormwater Management and Parking Areas. To the greatest extent practicable, proposed stormwater management shall be incorporated as a design feature to the </w:t>
      </w:r>
      <w:proofErr w:type="gramStart"/>
      <w:r>
        <w:t>development,</w:t>
      </w:r>
      <w:proofErr w:type="gramEnd"/>
      <w:r>
        <w:t xml:space="preserve"> locating stormwater management facilities along SR 45.</w:t>
      </w:r>
    </w:p>
    <w:p w14:paraId="0201415E" w14:textId="77777777" w:rsidR="007A411C" w:rsidRDefault="007A411C" w:rsidP="007A411C">
      <w:pPr>
        <w:pStyle w:val="ListParagraph"/>
        <w:ind w:left="360"/>
        <w:rPr>
          <w:b/>
          <w:bCs/>
          <w:i/>
          <w:iCs/>
        </w:rPr>
      </w:pPr>
    </w:p>
    <w:p w14:paraId="0535692D" w14:textId="77777777" w:rsidR="007A411C" w:rsidRDefault="007A411C" w:rsidP="007A411C">
      <w:pPr>
        <w:pStyle w:val="ListParagraph"/>
        <w:ind w:left="360"/>
        <w:rPr>
          <w:b/>
          <w:bCs/>
          <w:i/>
          <w:iCs/>
        </w:rPr>
      </w:pPr>
      <w:r>
        <w:rPr>
          <w:b/>
          <w:bCs/>
          <w:i/>
          <w:iCs/>
        </w:rPr>
        <w:t xml:space="preserve">3.7.3 Common Open Space. </w:t>
      </w:r>
    </w:p>
    <w:p w14:paraId="6D109566" w14:textId="77777777" w:rsidR="007A411C" w:rsidRDefault="007A411C" w:rsidP="007A411C">
      <w:pPr>
        <w:pStyle w:val="ListParagraph"/>
        <w:numPr>
          <w:ilvl w:val="0"/>
          <w:numId w:val="51"/>
        </w:numPr>
        <w:autoSpaceDE/>
        <w:autoSpaceDN/>
        <w:adjustRightInd/>
        <w:spacing w:after="160" w:line="256" w:lineRule="auto"/>
        <w:ind w:left="1440"/>
      </w:pPr>
      <w:r>
        <w:t>Open space/common area/buffers shall consist of a minimum 15% of the total PD area.</w:t>
      </w:r>
    </w:p>
    <w:p w14:paraId="304067C7" w14:textId="77777777" w:rsidR="007A411C" w:rsidRDefault="007A411C" w:rsidP="007A411C">
      <w:pPr>
        <w:pStyle w:val="ListParagraph"/>
        <w:numPr>
          <w:ilvl w:val="0"/>
          <w:numId w:val="51"/>
        </w:numPr>
        <w:spacing w:after="160"/>
        <w:ind w:left="1440"/>
      </w:pPr>
      <w:r>
        <w:t>Open space/common area/buffers shall be used within the development in accordance with the Development Program and as further delineated on the Final Development Plan(s).</w:t>
      </w:r>
    </w:p>
    <w:p w14:paraId="31DA000E" w14:textId="77777777" w:rsidR="007A411C" w:rsidRDefault="007A411C" w:rsidP="007A411C">
      <w:pPr>
        <w:pStyle w:val="ListParagraph"/>
        <w:numPr>
          <w:ilvl w:val="0"/>
          <w:numId w:val="51"/>
        </w:numPr>
        <w:spacing w:after="160"/>
        <w:ind w:left="1440"/>
      </w:pPr>
      <w:r>
        <w:t>Not more than one-half of the total common open space area may be in a floodplain, buffer area, and/or water bodies.</w:t>
      </w:r>
    </w:p>
    <w:p w14:paraId="1340ECDC" w14:textId="77777777" w:rsidR="007A411C" w:rsidRDefault="007A411C" w:rsidP="007A411C">
      <w:pPr>
        <w:pStyle w:val="ListParagraph"/>
        <w:numPr>
          <w:ilvl w:val="0"/>
          <w:numId w:val="51"/>
        </w:numPr>
        <w:spacing w:after="160"/>
        <w:ind w:left="1440"/>
      </w:pPr>
      <w:r>
        <w:t>Open space including, but not limited to common areas, private parks, landscape buffers, or other property under common private ownership shall be owned, controlled, and maintained by a Homeowners’ Association, Property Owners Association, or a Community Development District (“CDD”).</w:t>
      </w:r>
    </w:p>
    <w:p w14:paraId="3CCB6A3F" w14:textId="77777777" w:rsidR="007A411C" w:rsidRDefault="007A411C" w:rsidP="007A411C">
      <w:pPr>
        <w:pStyle w:val="ListParagraph"/>
        <w:numPr>
          <w:ilvl w:val="0"/>
          <w:numId w:val="51"/>
        </w:numPr>
        <w:spacing w:after="160"/>
        <w:ind w:left="1440"/>
      </w:pPr>
      <w:r>
        <w:lastRenderedPageBreak/>
        <w:t>Prior to the recordation of a final plat for all or part of the PD, the Developer shall provide a draft of the Homeowners’ Association, Property Owners’ Association or CDD master declaration of restrictive covenants in a form acceptable to the City Attorney.</w:t>
      </w:r>
    </w:p>
    <w:p w14:paraId="62B7C0CF" w14:textId="77777777" w:rsidR="007A411C" w:rsidRDefault="007A411C" w:rsidP="007A411C">
      <w:pPr>
        <w:pStyle w:val="ListParagraph"/>
        <w:numPr>
          <w:ilvl w:val="0"/>
          <w:numId w:val="51"/>
        </w:numPr>
        <w:spacing w:after="160"/>
        <w:ind w:left="1440"/>
      </w:pPr>
      <w:r>
        <w:t>All improvements within open space areas, including buffers, stormwater area, and public and private recreation areas, shall be illustrated on landscape plans signed and sealed by a Florida registered landscape architect.</w:t>
      </w:r>
    </w:p>
    <w:p w14:paraId="3E6CC1CE" w14:textId="77777777" w:rsidR="007A411C" w:rsidRDefault="007A411C" w:rsidP="007A411C">
      <w:pPr>
        <w:pStyle w:val="ListParagraph"/>
        <w:numPr>
          <w:ilvl w:val="0"/>
          <w:numId w:val="51"/>
        </w:numPr>
        <w:spacing w:after="160"/>
        <w:ind w:left="1440"/>
      </w:pPr>
      <w:r>
        <w:t>Prior to the issuance of a Certificate of Occupancy, the Developer shall record in the Official Records of Alachua County, Florida, the Homeowners’ Association, Property Owners’ Association or CDD master declaration of restrictive covenants in a form acceptable to the City Attorney.</w:t>
      </w:r>
    </w:p>
    <w:p w14:paraId="6D53D84C" w14:textId="77777777" w:rsidR="007A411C" w:rsidRDefault="007A411C" w:rsidP="007A411C">
      <w:pPr>
        <w:pStyle w:val="ListParagraph"/>
        <w:numPr>
          <w:ilvl w:val="0"/>
          <w:numId w:val="51"/>
        </w:numPr>
        <w:spacing w:after="160"/>
        <w:ind w:left="1440"/>
      </w:pPr>
      <w:r>
        <w:t>The Homeowners’ Association, Property Owners Association or CDD master declaration of restrictive covenants shall assign responsibilities for maintenance of all lands under its control and establish standards not less than those contained in the Land Development Regulations, as amended.</w:t>
      </w:r>
    </w:p>
    <w:p w14:paraId="449DBAFE" w14:textId="77777777" w:rsidR="007A411C" w:rsidRDefault="007A411C" w:rsidP="007A411C">
      <w:pPr>
        <w:rPr>
          <w:b/>
          <w:bCs/>
        </w:rPr>
      </w:pPr>
      <w:r>
        <w:rPr>
          <w:b/>
          <w:bCs/>
        </w:rPr>
        <w:t>Section 3.8. Additional conditions, recitals, and restrictions.</w:t>
      </w:r>
    </w:p>
    <w:p w14:paraId="721B84F4" w14:textId="77777777" w:rsidR="007A411C" w:rsidRDefault="007A411C" w:rsidP="007A411C">
      <w:r>
        <w:t>The PD shall also be required to comply with the following conditions:</w:t>
      </w:r>
    </w:p>
    <w:p w14:paraId="24C866F3"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Non-residential development approvals</w:t>
      </w:r>
      <w:r>
        <w:t>. Final development plan and site plan approval is required for all nonresidential and mixed-use site developments. No site plan approval may be granted for lands within the PD which are not platted.</w:t>
      </w:r>
    </w:p>
    <w:p w14:paraId="372237BE"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Development Agreement</w:t>
      </w:r>
      <w:r>
        <w:t>. All parties acknowledge that the City and Developer, and, if necessary, any party having interest in land or facilities dedicated, constructed for, requiring their maintenance, or otherwise necessitated by this PD, may enter into a Development Agreement for each phase or sub-phase of the PD.</w:t>
      </w:r>
    </w:p>
    <w:p w14:paraId="36C14818"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Overlay District</w:t>
      </w:r>
      <w:r>
        <w:t>. Those portions of the PD which lie within the US Highway 27/41 or State Road 45 Gateway Overlay District shall be subject to Appendix B, Article 4, Section 4.22 of the City of Newberry Code of Ordinances.</w:t>
      </w:r>
    </w:p>
    <w:p w14:paraId="2FF792EB" w14:textId="77777777" w:rsidR="007A411C" w:rsidRDefault="007A411C" w:rsidP="007A411C">
      <w:pPr>
        <w:pStyle w:val="ListParagraph"/>
        <w:numPr>
          <w:ilvl w:val="0"/>
          <w:numId w:val="38"/>
        </w:numPr>
        <w:autoSpaceDE/>
        <w:autoSpaceDN/>
        <w:adjustRightInd/>
        <w:spacing w:after="160" w:line="256" w:lineRule="auto"/>
        <w:ind w:left="720"/>
      </w:pPr>
      <w:r>
        <w:rPr>
          <w:i/>
          <w:iCs/>
          <w:u w:val="single"/>
        </w:rPr>
        <w:t>Signs</w:t>
      </w:r>
      <w:r>
        <w:t>. Signage identifying the business(es) shall comply with Appendix B, Article 4, Section 4.22 of the City of Newberry Code of Ordinances. Proposed signage design and location shall be submitted as part of the Site and Development Plan and/or Construction Plans application, which shall serve as the method of sign permit approval. This does not exempt the Developer from obtaining necessary permits for construction of the signs as may be required by the City of Newberry Code of Ordinances, Florida Building Code, or regulatory requirements from another governmental agency having jurisdictional interest in the PD. Permitted sign uses are set forth elsewhere in this Development Order.</w:t>
      </w:r>
    </w:p>
    <w:p w14:paraId="47CBFED0"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Future Connectivity</w:t>
      </w:r>
      <w:r>
        <w:t>. Any proposed connection must be illustrated on the Final Development Plan and include a stubbed road and signage described as follows: Metal, reflective signage with the language “FUTURE THRU STREET” posted on a metal pole.</w:t>
      </w:r>
    </w:p>
    <w:p w14:paraId="77FB494D"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Homeowners’ Association, Property Owners Association or Community Development District</w:t>
      </w:r>
      <w:r>
        <w:t>. The residential portions of the development shall be controlled by a Homeowners’ Association and/or one or more community development districts (“CDD”) and shall be subject to the rules, restrictions, and bylaws established in a declaration of restrictive covenants or other equivalent legal instrument that shall be recorded in the Official Records of Alachua County prior to the issuance of a building permit. The applicable residential association shall be responsible for enforcing the requirement that no residential parking be allowed to encroach onto sidewalks within the development. Non-residential or mixed-use portions and common space/buffers/open space/parks, trails and recreational areas of the PD also may be controlled by a Homeowners’ Association, Property Owners Association and/or CDD and shall be subject to the rules, restrictions, and bylaws established in a declaration of restrictive covenants or other equivalent legal instrument that shall be recorded in the Official Records of Alachua County prior to the issuance of a building permit. The City of Newberry shall reasonably grant Developer’s petition to establish one or more CDD’s upon filing a petition meeting the statutory criteria set forth in Chapter 190, Florida Statutes.</w:t>
      </w:r>
    </w:p>
    <w:p w14:paraId="7E3803B5"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Disclosures</w:t>
      </w:r>
      <w:r>
        <w:t>. The declaration(s) of restrictive covenants required herein shall include a clause requiring the signing of a disclosure of all individuals and entities taking possession of property within lands under control of the declaration of restrictive covenants acknowledging an understanding of proximity to active agricultural uses.</w:t>
      </w:r>
    </w:p>
    <w:p w14:paraId="45F336F5"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Final Development Plan</w:t>
      </w:r>
      <w:r>
        <w:t>. The following shall apply:</w:t>
      </w:r>
    </w:p>
    <w:p w14:paraId="1E9026C1" w14:textId="77777777" w:rsidR="007A411C" w:rsidRDefault="007A411C" w:rsidP="007A411C">
      <w:pPr>
        <w:pStyle w:val="ListParagraph"/>
        <w:numPr>
          <w:ilvl w:val="1"/>
          <w:numId w:val="52"/>
        </w:numPr>
        <w:autoSpaceDE/>
        <w:autoSpaceDN/>
        <w:adjustRightInd/>
        <w:spacing w:after="160" w:line="256" w:lineRule="auto"/>
        <w:ind w:left="1080"/>
      </w:pPr>
      <w:r>
        <w:lastRenderedPageBreak/>
        <w:t xml:space="preserve">Within 12 months of approval of the Preliminary Development Plan, the owner or their designee shall submit to the City a final development plan covering phase 1 of the preliminary development plan. </w:t>
      </w:r>
    </w:p>
    <w:p w14:paraId="1B2B741C" w14:textId="77777777" w:rsidR="007A411C" w:rsidRDefault="007A411C" w:rsidP="007A411C">
      <w:pPr>
        <w:pStyle w:val="ListParagraph"/>
        <w:numPr>
          <w:ilvl w:val="1"/>
          <w:numId w:val="52"/>
        </w:numPr>
        <w:autoSpaceDE/>
        <w:autoSpaceDN/>
        <w:adjustRightInd/>
        <w:spacing w:after="160" w:line="256" w:lineRule="auto"/>
        <w:ind w:left="1080"/>
      </w:pPr>
      <w:r>
        <w:t>This period may be extended by 12 months by the City Commission if requested in writing by the owner or their designee prior to the expiration of the preliminary development plan.</w:t>
      </w:r>
    </w:p>
    <w:p w14:paraId="6D122046" w14:textId="77777777" w:rsidR="007A411C" w:rsidRDefault="007A411C" w:rsidP="007A411C">
      <w:pPr>
        <w:pStyle w:val="ListParagraph"/>
        <w:numPr>
          <w:ilvl w:val="1"/>
          <w:numId w:val="52"/>
        </w:numPr>
        <w:autoSpaceDE/>
        <w:autoSpaceDN/>
        <w:adjustRightInd/>
        <w:spacing w:after="160" w:line="256" w:lineRule="auto"/>
        <w:ind w:left="1080"/>
      </w:pPr>
      <w:r>
        <w:t xml:space="preserve">A final </w:t>
      </w:r>
      <w:proofErr w:type="gramStart"/>
      <w:r>
        <w:t>plat</w:t>
      </w:r>
      <w:proofErr w:type="gramEnd"/>
      <w:r>
        <w:t xml:space="preserve"> shall neither be approved by the city commission nor accepted for filing until the subdivider posts a maintenance bond to cover at least ten percent of the estimated costs of all required improvements for a period of one year.</w:t>
      </w:r>
    </w:p>
    <w:p w14:paraId="6B6D0FEB" w14:textId="77777777" w:rsidR="007A411C" w:rsidRDefault="007A411C" w:rsidP="007A411C">
      <w:pPr>
        <w:pStyle w:val="ListParagraph"/>
        <w:numPr>
          <w:ilvl w:val="1"/>
          <w:numId w:val="52"/>
        </w:numPr>
        <w:autoSpaceDE/>
        <w:autoSpaceDN/>
        <w:adjustRightInd/>
        <w:spacing w:after="160" w:line="256" w:lineRule="auto"/>
        <w:ind w:left="1080"/>
      </w:pPr>
      <w:r>
        <w:t xml:space="preserve">No building permit shall be issued for any portion of a proposed planned development until the final development plan has been approved and minimum requirements for fire safety and buildings codes have been satisfied. </w:t>
      </w:r>
    </w:p>
    <w:p w14:paraId="52089930" w14:textId="77777777" w:rsidR="007A411C" w:rsidRDefault="007A411C" w:rsidP="007A411C">
      <w:pPr>
        <w:pStyle w:val="ListParagraph"/>
        <w:numPr>
          <w:ilvl w:val="1"/>
          <w:numId w:val="52"/>
        </w:numPr>
        <w:autoSpaceDE/>
        <w:autoSpaceDN/>
        <w:adjustRightInd/>
        <w:spacing w:after="160" w:line="256" w:lineRule="auto"/>
        <w:ind w:left="1080"/>
      </w:pPr>
      <w:r>
        <w:t>The city commission shall not take over for maintenance any road, street, utilities, public parking or other public area, or drainage facility related thereto, except those designed and built in accordance with the city commission's requirements and accepted for maintenance by specific action by the city commission</w:t>
      </w:r>
      <w:r>
        <w:rPr>
          <w:rFonts w:ascii="Open Sans" w:hAnsi="Open Sans" w:cs="Open Sans"/>
          <w:color w:val="313335"/>
          <w:spacing w:val="2"/>
          <w:sz w:val="21"/>
          <w:szCs w:val="21"/>
          <w:shd w:val="clear" w:color="auto" w:fill="FFFFFF"/>
        </w:rPr>
        <w:t>.</w:t>
      </w:r>
    </w:p>
    <w:p w14:paraId="2EE9B927" w14:textId="77777777" w:rsidR="007A411C" w:rsidRDefault="007A411C" w:rsidP="007A411C">
      <w:pPr>
        <w:pStyle w:val="ListParagraph"/>
        <w:numPr>
          <w:ilvl w:val="0"/>
          <w:numId w:val="52"/>
        </w:numPr>
        <w:autoSpaceDE/>
        <w:autoSpaceDN/>
        <w:adjustRightInd/>
        <w:spacing w:after="160" w:line="256" w:lineRule="auto"/>
        <w:ind w:left="720"/>
      </w:pPr>
      <w:r>
        <w:rPr>
          <w:i/>
          <w:iCs/>
          <w:u w:val="single"/>
        </w:rPr>
        <w:t>Revisions, amendments, deviations, changes</w:t>
      </w:r>
      <w:r>
        <w:t>. Revisions, amendments, deviations, and/or changes to the preliminary development plan which affect the following shall be reviewed by the Planning and Zoning Board and the City Commission in the same manner as the initial application:</w:t>
      </w:r>
    </w:p>
    <w:p w14:paraId="5770EA87" w14:textId="77777777" w:rsidR="007A411C" w:rsidRDefault="007A411C" w:rsidP="007A411C">
      <w:pPr>
        <w:pStyle w:val="ListParagraph"/>
        <w:numPr>
          <w:ilvl w:val="1"/>
          <w:numId w:val="52"/>
        </w:numPr>
        <w:autoSpaceDE/>
        <w:autoSpaceDN/>
        <w:adjustRightInd/>
        <w:spacing w:after="160" w:line="256" w:lineRule="auto"/>
        <w:ind w:left="1080"/>
      </w:pPr>
      <w:r>
        <w:t>Intent and character.</w:t>
      </w:r>
    </w:p>
    <w:p w14:paraId="21E22352" w14:textId="77777777" w:rsidR="007A411C" w:rsidRDefault="007A411C" w:rsidP="007A411C">
      <w:pPr>
        <w:pStyle w:val="ListParagraph"/>
        <w:numPr>
          <w:ilvl w:val="1"/>
          <w:numId w:val="52"/>
        </w:numPr>
        <w:autoSpaceDE/>
        <w:autoSpaceDN/>
        <w:adjustRightInd/>
        <w:spacing w:after="160" w:line="256" w:lineRule="auto"/>
        <w:ind w:left="1080"/>
      </w:pPr>
      <w:r>
        <w:t>Density or land use pattern.</w:t>
      </w:r>
    </w:p>
    <w:p w14:paraId="7B71D84D" w14:textId="77777777" w:rsidR="007A411C" w:rsidRDefault="007A411C" w:rsidP="007A411C">
      <w:pPr>
        <w:pStyle w:val="ListParagraph"/>
        <w:numPr>
          <w:ilvl w:val="1"/>
          <w:numId w:val="52"/>
        </w:numPr>
        <w:autoSpaceDE/>
        <w:autoSpaceDN/>
        <w:adjustRightInd/>
        <w:spacing w:after="160" w:line="256" w:lineRule="auto"/>
        <w:ind w:left="1080"/>
      </w:pPr>
      <w:r>
        <w:t>Proposed buffers.</w:t>
      </w:r>
    </w:p>
    <w:p w14:paraId="5984082B" w14:textId="77777777" w:rsidR="007A411C" w:rsidRDefault="007A411C" w:rsidP="007A411C">
      <w:pPr>
        <w:pStyle w:val="ListParagraph"/>
        <w:numPr>
          <w:ilvl w:val="1"/>
          <w:numId w:val="52"/>
        </w:numPr>
        <w:autoSpaceDE/>
        <w:autoSpaceDN/>
        <w:adjustRightInd/>
        <w:spacing w:after="160" w:line="256" w:lineRule="auto"/>
        <w:ind w:left="1080"/>
      </w:pPr>
      <w:r>
        <w:t>Location or dimensions of arterial or collector streets.</w:t>
      </w:r>
    </w:p>
    <w:p w14:paraId="393A3FC0" w14:textId="77777777" w:rsidR="007A411C" w:rsidRDefault="007A411C" w:rsidP="007A411C">
      <w:pPr>
        <w:pStyle w:val="ListParagraph"/>
        <w:numPr>
          <w:ilvl w:val="1"/>
          <w:numId w:val="52"/>
        </w:numPr>
        <w:autoSpaceDE/>
        <w:autoSpaceDN/>
        <w:adjustRightInd/>
        <w:spacing w:after="160" w:line="256" w:lineRule="auto"/>
        <w:ind w:left="1080"/>
      </w:pPr>
      <w:r>
        <w:t>Or other substantial changes as enumerated in Appendix B, Article 4, Section 4.21.8 of the City of Newberry Code of Ordinances.</w:t>
      </w:r>
    </w:p>
    <w:p w14:paraId="0AAC7255" w14:textId="77777777" w:rsidR="007A411C" w:rsidRDefault="007A411C" w:rsidP="007A411C">
      <w:pPr>
        <w:pStyle w:val="ListParagraph"/>
        <w:ind w:left="1080"/>
      </w:pPr>
    </w:p>
    <w:p w14:paraId="14AAE898" w14:textId="77777777" w:rsidR="007A411C" w:rsidRDefault="007A411C" w:rsidP="007A411C">
      <w:pPr>
        <w:pStyle w:val="ListParagraph"/>
        <w:ind w:left="1080"/>
      </w:pPr>
      <w:r>
        <w:t>Notwithstanding the foregoing, Minor changes may be approved by the LDR Administrator.</w:t>
      </w:r>
    </w:p>
    <w:p w14:paraId="7BA9CE28" w14:textId="77777777" w:rsidR="007A411C" w:rsidRDefault="007A411C" w:rsidP="007A411C">
      <w:pPr>
        <w:pStyle w:val="ListParagraph"/>
        <w:numPr>
          <w:ilvl w:val="0"/>
          <w:numId w:val="52"/>
        </w:numPr>
        <w:tabs>
          <w:tab w:val="left" w:pos="720"/>
        </w:tabs>
        <w:autoSpaceDE/>
        <w:autoSpaceDN/>
        <w:adjustRightInd/>
        <w:spacing w:after="160" w:line="256" w:lineRule="auto"/>
        <w:ind w:left="720"/>
      </w:pPr>
      <w:r>
        <w:rPr>
          <w:i/>
          <w:iCs/>
          <w:u w:val="single"/>
        </w:rPr>
        <w:t>Time limitations</w:t>
      </w:r>
      <w:r>
        <w:t xml:space="preserve">. Without limiting its lawful power to zone otherwise, the City Commission may amend this Development Order after notice, opportunity to cure, and an evidentiary hearing, if site construction drawings for Phase I have not been submitted for all or part of the PD within five years of the effective date of this Development Order or last modification thereto. </w:t>
      </w:r>
    </w:p>
    <w:p w14:paraId="3C56C48D" w14:textId="77777777" w:rsidR="007A411C" w:rsidRDefault="007A411C" w:rsidP="007A411C">
      <w:pPr>
        <w:rPr>
          <w:b/>
          <w:bCs/>
        </w:rPr>
      </w:pPr>
    </w:p>
    <w:p w14:paraId="67BF1DFA" w14:textId="77777777" w:rsidR="007A411C" w:rsidRDefault="007A411C" w:rsidP="007A411C">
      <w:r>
        <w:rPr>
          <w:b/>
          <w:bCs/>
        </w:rPr>
        <w:t>Section 4. Binding.</w:t>
      </w:r>
      <w:r>
        <w:t xml:space="preserve"> </w:t>
      </w:r>
    </w:p>
    <w:p w14:paraId="29EDE7F9" w14:textId="77777777" w:rsidR="007A411C" w:rsidRDefault="007A411C" w:rsidP="007A411C">
      <w:r>
        <w:t>This Order shall be binding upon the Developer, and their assigns or successors-in-interest.</w:t>
      </w:r>
    </w:p>
    <w:p w14:paraId="26E9015E" w14:textId="77777777" w:rsidR="007A411C" w:rsidRDefault="007A411C" w:rsidP="007A411C">
      <w:pPr>
        <w:rPr>
          <w:b/>
          <w:bCs/>
        </w:rPr>
      </w:pPr>
      <w:r>
        <w:rPr>
          <w:b/>
          <w:bCs/>
        </w:rPr>
        <w:t xml:space="preserve">Section 5. Adaptive applicability. </w:t>
      </w:r>
    </w:p>
    <w:p w14:paraId="53E638AE" w14:textId="77777777" w:rsidR="007A411C" w:rsidRDefault="007A411C" w:rsidP="007A411C">
      <w:r>
        <w:t>It is understood that any reference herein to any governmental agency shall be construed to mean any future instrumentality that may be created or designated as successor-to-interest to, or which otherwise possesses any of the powers and duties of any referenced governmental agency in existence on the effective date of this Development Order, adopted herewith as part of this Ordinance.</w:t>
      </w:r>
    </w:p>
    <w:p w14:paraId="42195AA1" w14:textId="77777777" w:rsidR="007A411C" w:rsidRDefault="007A411C" w:rsidP="007A411C"/>
    <w:p w14:paraId="61B6B026" w14:textId="77777777" w:rsidR="007A411C" w:rsidRDefault="007A411C" w:rsidP="007A411C">
      <w:r>
        <w:rPr>
          <w:sz w:val="24"/>
          <w:szCs w:val="24"/>
        </w:rPr>
        <w:br w:type="page"/>
      </w:r>
    </w:p>
    <w:p w14:paraId="38907D98" w14:textId="77777777" w:rsidR="007A411C" w:rsidRDefault="007A411C" w:rsidP="007A411C">
      <w:pPr>
        <w:jc w:val="center"/>
        <w:rPr>
          <w:b/>
          <w:bCs/>
          <w:sz w:val="28"/>
          <w:szCs w:val="28"/>
        </w:rPr>
      </w:pPr>
      <w:r>
        <w:rPr>
          <w:b/>
          <w:bCs/>
          <w:sz w:val="28"/>
          <w:szCs w:val="28"/>
        </w:rPr>
        <w:lastRenderedPageBreak/>
        <w:t>EXHIBIT C.1</w:t>
      </w:r>
    </w:p>
    <w:p w14:paraId="1A2EF741" w14:textId="77777777" w:rsidR="007A411C" w:rsidRDefault="007A411C" w:rsidP="007A411C">
      <w:pPr>
        <w:jc w:val="center"/>
        <w:rPr>
          <w:b/>
          <w:bCs/>
          <w:sz w:val="28"/>
          <w:szCs w:val="28"/>
        </w:rPr>
      </w:pPr>
      <w:r>
        <w:rPr>
          <w:b/>
          <w:bCs/>
          <w:sz w:val="28"/>
          <w:szCs w:val="28"/>
        </w:rPr>
        <w:t>MASTER WASTEWATER LINES</w:t>
      </w:r>
    </w:p>
    <w:p w14:paraId="16D03396" w14:textId="77777777" w:rsidR="007A411C" w:rsidRDefault="007A411C" w:rsidP="007A411C">
      <w:pPr>
        <w:rPr>
          <w:sz w:val="22"/>
          <w:szCs w:val="22"/>
        </w:rPr>
      </w:pPr>
      <w:r>
        <w:br w:type="page"/>
      </w:r>
    </w:p>
    <w:p w14:paraId="4C57B318" w14:textId="5E1D91EF" w:rsidR="007A411C" w:rsidRDefault="007A411C" w:rsidP="007A411C">
      <w:pPr>
        <w:jc w:val="center"/>
      </w:pPr>
      <w:r>
        <w:rPr>
          <w:noProof/>
        </w:rPr>
        <w:lastRenderedPageBreak/>
        <w:drawing>
          <wp:inline distT="0" distB="0" distL="0" distR="0" wp14:anchorId="68AB50EE" wp14:editId="1C254D92">
            <wp:extent cx="5943600" cy="7688580"/>
            <wp:effectExtent l="0" t="0" r="0" b="7620"/>
            <wp:docPr id="64242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5B7E82FF" w14:textId="77777777" w:rsidR="007A411C" w:rsidRDefault="007A411C" w:rsidP="007A411C">
      <w:r>
        <w:rPr>
          <w:sz w:val="24"/>
          <w:szCs w:val="24"/>
        </w:rPr>
        <w:br w:type="page"/>
      </w:r>
    </w:p>
    <w:p w14:paraId="1F746454" w14:textId="77777777" w:rsidR="007A411C" w:rsidRDefault="007A411C" w:rsidP="007A411C">
      <w:pPr>
        <w:jc w:val="center"/>
        <w:rPr>
          <w:b/>
          <w:bCs/>
          <w:sz w:val="28"/>
          <w:szCs w:val="28"/>
        </w:rPr>
      </w:pPr>
      <w:r>
        <w:rPr>
          <w:b/>
          <w:bCs/>
          <w:sz w:val="28"/>
          <w:szCs w:val="28"/>
        </w:rPr>
        <w:lastRenderedPageBreak/>
        <w:t>EXHIBIT C.2</w:t>
      </w:r>
    </w:p>
    <w:p w14:paraId="4F39AF60" w14:textId="77777777" w:rsidR="007A411C" w:rsidRDefault="007A411C" w:rsidP="007A411C">
      <w:pPr>
        <w:jc w:val="center"/>
        <w:rPr>
          <w:b/>
          <w:bCs/>
          <w:sz w:val="28"/>
          <w:szCs w:val="28"/>
        </w:rPr>
      </w:pPr>
      <w:r>
        <w:rPr>
          <w:b/>
          <w:bCs/>
          <w:sz w:val="28"/>
          <w:szCs w:val="28"/>
        </w:rPr>
        <w:t>MASTER POTABLE WATER LINES</w:t>
      </w:r>
    </w:p>
    <w:p w14:paraId="7309CCF0" w14:textId="77777777" w:rsidR="007A411C" w:rsidRDefault="007A411C" w:rsidP="007A411C">
      <w:pPr>
        <w:jc w:val="center"/>
        <w:rPr>
          <w:b/>
          <w:bCs/>
          <w:sz w:val="28"/>
          <w:szCs w:val="28"/>
        </w:rPr>
      </w:pPr>
    </w:p>
    <w:p w14:paraId="5A0815F0" w14:textId="77777777" w:rsidR="007A411C" w:rsidRDefault="007A411C" w:rsidP="007A411C">
      <w:pPr>
        <w:rPr>
          <w:b/>
          <w:bCs/>
          <w:sz w:val="28"/>
          <w:szCs w:val="28"/>
        </w:rPr>
      </w:pPr>
      <w:r>
        <w:rPr>
          <w:b/>
          <w:bCs/>
          <w:sz w:val="28"/>
          <w:szCs w:val="28"/>
        </w:rPr>
        <w:br w:type="page"/>
      </w:r>
    </w:p>
    <w:p w14:paraId="5FE73C88" w14:textId="6DFE1591" w:rsidR="000427D5" w:rsidRPr="000427D5" w:rsidRDefault="00263EB6" w:rsidP="00C96A21">
      <w:pPr>
        <w:jc w:val="center"/>
        <w:rPr>
          <w:b/>
          <w:sz w:val="24"/>
          <w:szCs w:val="24"/>
        </w:rPr>
      </w:pPr>
      <w:r>
        <w:rPr>
          <w:noProof/>
        </w:rPr>
        <w:lastRenderedPageBreak/>
        <w:drawing>
          <wp:inline distT="0" distB="0" distL="0" distR="0" wp14:anchorId="478E59EE" wp14:editId="62E659B2">
            <wp:extent cx="5943600" cy="7691755"/>
            <wp:effectExtent l="0" t="0" r="0" b="4445"/>
            <wp:docPr id="128717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8177"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427D5" w:rsidRPr="000427D5" w:rsidSect="00D3529C">
      <w:headerReference w:type="default" r:id="rId13"/>
      <w:footerReference w:type="even" r:id="rId14"/>
      <w:footerReference w:type="default" r:id="rId15"/>
      <w:footerReference w:type="first" r:id="rId16"/>
      <w:pgSz w:w="12240" w:h="15840" w:code="1"/>
      <w:pgMar w:top="99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AA8CB" w14:textId="77777777" w:rsidR="00CB043A" w:rsidRDefault="00CB043A">
      <w:r>
        <w:separator/>
      </w:r>
    </w:p>
  </w:endnote>
  <w:endnote w:type="continuationSeparator" w:id="0">
    <w:p w14:paraId="7DCBB926" w14:textId="77777777" w:rsidR="00CB043A" w:rsidRDefault="00CB0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F4C6" w14:textId="77777777" w:rsidR="00E2444C" w:rsidRDefault="00E2444C" w:rsidP="002D1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402858" w14:textId="77777777" w:rsidR="00E2444C" w:rsidRDefault="00E24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0098" w14:textId="77777777" w:rsidR="00A15057" w:rsidRDefault="00A15057">
    <w:pPr>
      <w:pStyle w:val="Footer"/>
    </w:pPr>
  </w:p>
  <w:p w14:paraId="3CB4AF85" w14:textId="36D32BC8" w:rsidR="00A15057" w:rsidRDefault="00D75672">
    <w:pPr>
      <w:pStyle w:val="Footer"/>
    </w:pPr>
    <w:r>
      <w:t xml:space="preserve">Planning &amp; Zoning Board </w:t>
    </w:r>
    <w:r w:rsidR="008A7A42">
      <w:t>10</w:t>
    </w:r>
    <w:r w:rsidR="00025E32">
      <w:t>/</w:t>
    </w:r>
    <w:r w:rsidR="008A7A42">
      <w:t>25</w:t>
    </w:r>
    <w:r w:rsidR="00025E32">
      <w:t>/</w:t>
    </w:r>
    <w:r w:rsidR="008A7A42">
      <w:t>2023</w:t>
    </w:r>
  </w:p>
  <w:p w14:paraId="7ABE5528" w14:textId="1F84390B" w:rsidR="00E2444C" w:rsidRDefault="00E2444C">
    <w:pPr>
      <w:pStyle w:val="Footer"/>
    </w:pPr>
    <w:r>
      <w:t xml:space="preserve">City Commission First Reading </w:t>
    </w:r>
    <w:r w:rsidR="008A7A42">
      <w:t>04</w:t>
    </w:r>
    <w:r w:rsidR="00025E32">
      <w:t>/</w:t>
    </w:r>
    <w:r w:rsidR="0040549B">
      <w:t>15/2024</w:t>
    </w:r>
  </w:p>
  <w:p w14:paraId="72D5E98C" w14:textId="3D302952" w:rsidR="008A2188" w:rsidRDefault="008A2188">
    <w:pPr>
      <w:pStyle w:val="Footer"/>
    </w:pPr>
    <w:r>
      <w:t>City Commission Second Reading/Enactment</w:t>
    </w:r>
    <w:r w:rsidR="00362E60">
      <w:t xml:space="preserve"> </w:t>
    </w:r>
    <w:r w:rsidR="00025E32">
      <w:t>MM/DD/YYYY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A236" w14:textId="212F8135" w:rsidR="000206F5" w:rsidRDefault="000206F5" w:rsidP="000206F5">
    <w:pPr>
      <w:pStyle w:val="Footer"/>
      <w:tabs>
        <w:tab w:val="clear" w:pos="4320"/>
        <w:tab w:val="clear" w:pos="8640"/>
        <w:tab w:val="left" w:pos="7380"/>
      </w:tabs>
    </w:pPr>
    <w:r>
      <w:rPr>
        <w:noProof/>
      </w:rPr>
      <mc:AlternateContent>
        <mc:Choice Requires="wps">
          <w:drawing>
            <wp:anchor distT="0" distB="0" distL="114300" distR="114300" simplePos="0" relativeHeight="251659264" behindDoc="0" locked="0" layoutInCell="1" allowOverlap="1" wp14:anchorId="227164A3" wp14:editId="732E97FB">
              <wp:simplePos x="0" y="0"/>
              <wp:positionH relativeFrom="margin">
                <wp:align>right</wp:align>
              </wp:positionH>
              <wp:positionV relativeFrom="paragraph">
                <wp:posOffset>-78105</wp:posOffset>
              </wp:positionV>
              <wp:extent cx="545782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545782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476519" id="Straight Connector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6.15pt" to="808.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" strokecolor="windowText" strokeweight="1pt">
              <v:stroke joinstyle="miter"/>
              <w10:wrap anchorx="margin"/>
            </v:line>
          </w:pict>
        </mc:Fallback>
      </mc:AlternateContent>
    </w:r>
    <w:r>
      <w:t xml:space="preserve">Planning &amp; Zoning Board </w:t>
    </w:r>
    <w:r w:rsidR="000225A8">
      <w:t>10/25/2023</w:t>
    </w:r>
    <w:r>
      <w:tab/>
    </w:r>
    <w:r w:rsidRPr="00EF3614">
      <w:t xml:space="preserve">Page </w:t>
    </w:r>
    <w:r>
      <w:fldChar w:fldCharType="begin"/>
    </w:r>
    <w:r>
      <w:instrText xml:space="preserve"> PAGE  \* Arabic  \* MERGEFORMAT </w:instrText>
    </w:r>
    <w:r>
      <w:fldChar w:fldCharType="separate"/>
    </w:r>
    <w:r>
      <w:t>1</w:t>
    </w:r>
    <w:r>
      <w:fldChar w:fldCharType="end"/>
    </w:r>
    <w:r w:rsidRPr="00EF3614">
      <w:t xml:space="preserve"> of </w:t>
    </w:r>
    <w:r w:rsidR="00FC4964">
      <w:fldChar w:fldCharType="begin"/>
    </w:r>
    <w:r w:rsidR="00FC4964">
      <w:instrText xml:space="preserve"> NUMPAGES   \* MERGEFORMAT </w:instrText>
    </w:r>
    <w:r w:rsidR="00FC4964">
      <w:fldChar w:fldCharType="separate"/>
    </w:r>
    <w:r>
      <w:t>9</w:t>
    </w:r>
    <w:r w:rsidR="00FC4964">
      <w:fldChar w:fldCharType="end"/>
    </w:r>
  </w:p>
  <w:p w14:paraId="794E455B" w14:textId="65FA9DE5" w:rsidR="000206F5" w:rsidRDefault="000206F5" w:rsidP="000206F5">
    <w:pPr>
      <w:pStyle w:val="Footer"/>
    </w:pPr>
    <w:r>
      <w:t xml:space="preserve">City Commission First Reading </w:t>
    </w:r>
    <w:r w:rsidR="000225A8">
      <w:t>04/15/2024</w:t>
    </w:r>
  </w:p>
  <w:p w14:paraId="4AC7A640" w14:textId="0080E192" w:rsidR="000206F5" w:rsidRDefault="000206F5" w:rsidP="000206F5">
    <w:pPr>
      <w:pStyle w:val="Footer"/>
    </w:pPr>
    <w:r>
      <w:t xml:space="preserve">City Commission Second Reading/Enactment </w:t>
    </w:r>
    <w:r w:rsidR="003154E5">
      <w:t>TBD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B7FFC" w14:textId="77777777" w:rsidR="00CB043A" w:rsidRDefault="00CB043A">
      <w:r>
        <w:separator/>
      </w:r>
    </w:p>
  </w:footnote>
  <w:footnote w:type="continuationSeparator" w:id="0">
    <w:p w14:paraId="0170CD55" w14:textId="77777777" w:rsidR="00CB043A" w:rsidRDefault="00CB0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47F19A3D" w14:textId="754F279E" w:rsidR="00D3529C" w:rsidRPr="00D3529C" w:rsidRDefault="00D3529C" w:rsidP="00D3529C">
        <w:pPr>
          <w:pStyle w:val="Head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48DEB42F" w14:textId="30002E3E" w:rsidR="00D3529C" w:rsidRPr="00D3529C" w:rsidRDefault="00D3529C" w:rsidP="00D3529C">
    <w:pPr>
      <w:pStyle w:val="Header"/>
      <w:jc w:val="right"/>
    </w:pPr>
    <w:r w:rsidRPr="00D3529C">
      <w:rPr>
        <w:sz w:val="24"/>
        <w:szCs w:val="24"/>
      </w:rPr>
      <w:t xml:space="preserve"> </w:t>
    </w:r>
    <w:r w:rsidRPr="00D3529C">
      <w:t>ORDINANCE NO. 202</w:t>
    </w:r>
    <w:r w:rsidR="005B46D8">
      <w:t>4</w:t>
    </w:r>
    <w:r w:rsidRPr="00D3529C">
      <w:t>-</w:t>
    </w:r>
    <w:r w:rsidR="005B46D8">
      <w:t>1</w:t>
    </w:r>
    <w:r w:rsidR="005358F8">
      <w:t>4</w:t>
    </w:r>
    <w:r w:rsidRPr="00D3529C">
      <w:t>/LDR 2</w:t>
    </w:r>
    <w:r w:rsidR="003154E5">
      <w:t>3</w:t>
    </w:r>
    <w:r w:rsidRPr="00D3529C">
      <w:t>-</w:t>
    </w:r>
    <w:r w:rsidR="003154E5">
      <w:t>0</w:t>
    </w:r>
    <w:r w:rsidR="005358F8">
      <w:t>6</w:t>
    </w:r>
  </w:p>
  <w:p w14:paraId="4525DA61" w14:textId="77777777" w:rsidR="00D3529C" w:rsidRDefault="00D3529C" w:rsidP="00D3529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B3E"/>
    <w:multiLevelType w:val="hybridMultilevel"/>
    <w:tmpl w:val="5330E13C"/>
    <w:lvl w:ilvl="0" w:tplc="87E0F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852046"/>
    <w:multiLevelType w:val="hybridMultilevel"/>
    <w:tmpl w:val="900EEF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55433C"/>
    <w:multiLevelType w:val="hybridMultilevel"/>
    <w:tmpl w:val="50D0AAF2"/>
    <w:lvl w:ilvl="0" w:tplc="04090019">
      <w:start w:val="1"/>
      <w:numFmt w:val="lowerLetter"/>
      <w:lvlText w:val="%1."/>
      <w:lvlJc w:val="left"/>
      <w:pPr>
        <w:ind w:left="720" w:hanging="360"/>
      </w:pPr>
    </w:lvl>
    <w:lvl w:ilvl="1" w:tplc="A87E8D3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E0D46"/>
    <w:multiLevelType w:val="hybridMultilevel"/>
    <w:tmpl w:val="F2762908"/>
    <w:lvl w:ilvl="0" w:tplc="71F4FD9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E8196F"/>
    <w:multiLevelType w:val="multilevel"/>
    <w:tmpl w:val="1CF2F90E"/>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Times New Roman" w:hAnsi="Times New Roman" w:cs="Times New Roman"/>
        <w:i w:val="0"/>
      </w:rPr>
    </w:lvl>
    <w:lvl w:ilvl="2">
      <w:start w:val="1"/>
      <w:numFmt w:val="lowerRoman"/>
      <w:lvlText w:val="%3."/>
      <w:lvlJc w:val="right"/>
      <w:pPr>
        <w:ind w:left="1800" w:hanging="360"/>
      </w:p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B155C2E"/>
    <w:multiLevelType w:val="hybridMultilevel"/>
    <w:tmpl w:val="5AAE2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CB82C4C"/>
    <w:multiLevelType w:val="hybridMultilevel"/>
    <w:tmpl w:val="F4086E52"/>
    <w:lvl w:ilvl="0" w:tplc="061A6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6A4FE2"/>
    <w:multiLevelType w:val="hybridMultilevel"/>
    <w:tmpl w:val="9D684C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723CC5"/>
    <w:multiLevelType w:val="hybridMultilevel"/>
    <w:tmpl w:val="15223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04D1F56"/>
    <w:multiLevelType w:val="hybridMultilevel"/>
    <w:tmpl w:val="358E1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0955EED"/>
    <w:multiLevelType w:val="hybridMultilevel"/>
    <w:tmpl w:val="E6F010D2"/>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2863FC1"/>
    <w:multiLevelType w:val="hybridMultilevel"/>
    <w:tmpl w:val="28B27C6C"/>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 w15:restartNumberingAfterBreak="0">
    <w:nsid w:val="12C55090"/>
    <w:multiLevelType w:val="hybridMultilevel"/>
    <w:tmpl w:val="B1BC242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71C43A8"/>
    <w:multiLevelType w:val="hybridMultilevel"/>
    <w:tmpl w:val="A4249146"/>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14" w15:restartNumberingAfterBreak="0">
    <w:nsid w:val="189538B6"/>
    <w:multiLevelType w:val="hybridMultilevel"/>
    <w:tmpl w:val="6F6047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A16791"/>
    <w:multiLevelType w:val="hybridMultilevel"/>
    <w:tmpl w:val="E59A02DC"/>
    <w:lvl w:ilvl="0" w:tplc="04090019">
      <w:start w:val="1"/>
      <w:numFmt w:val="lowerLetter"/>
      <w:lvlText w:val="%1."/>
      <w:lvlJc w:val="left"/>
      <w:pPr>
        <w:ind w:left="5760" w:hanging="360"/>
      </w:pPr>
    </w:lvl>
    <w:lvl w:ilvl="1" w:tplc="04090019">
      <w:start w:val="1"/>
      <w:numFmt w:val="lowerLetter"/>
      <w:lvlText w:val="%2."/>
      <w:lvlJc w:val="left"/>
      <w:pPr>
        <w:ind w:left="6480" w:hanging="360"/>
      </w:pPr>
    </w:lvl>
    <w:lvl w:ilvl="2" w:tplc="0409001B">
      <w:start w:val="1"/>
      <w:numFmt w:val="lowerRoman"/>
      <w:lvlText w:val="%3."/>
      <w:lvlJc w:val="right"/>
      <w:pPr>
        <w:ind w:left="7200" w:hanging="180"/>
      </w:pPr>
    </w:lvl>
    <w:lvl w:ilvl="3" w:tplc="0409000F">
      <w:start w:val="1"/>
      <w:numFmt w:val="decimal"/>
      <w:lvlText w:val="%4."/>
      <w:lvlJc w:val="left"/>
      <w:pPr>
        <w:ind w:left="7920" w:hanging="360"/>
      </w:pPr>
    </w:lvl>
    <w:lvl w:ilvl="4" w:tplc="04090019">
      <w:start w:val="1"/>
      <w:numFmt w:val="lowerLetter"/>
      <w:lvlText w:val="%5."/>
      <w:lvlJc w:val="left"/>
      <w:pPr>
        <w:ind w:left="8640" w:hanging="360"/>
      </w:pPr>
    </w:lvl>
    <w:lvl w:ilvl="5" w:tplc="0409001B">
      <w:start w:val="1"/>
      <w:numFmt w:val="lowerRoman"/>
      <w:lvlText w:val="%6."/>
      <w:lvlJc w:val="right"/>
      <w:pPr>
        <w:ind w:left="9360" w:hanging="180"/>
      </w:pPr>
    </w:lvl>
    <w:lvl w:ilvl="6" w:tplc="0409000F">
      <w:start w:val="1"/>
      <w:numFmt w:val="decimal"/>
      <w:lvlText w:val="%7."/>
      <w:lvlJc w:val="left"/>
      <w:pPr>
        <w:ind w:left="10080" w:hanging="360"/>
      </w:pPr>
    </w:lvl>
    <w:lvl w:ilvl="7" w:tplc="04090019">
      <w:start w:val="1"/>
      <w:numFmt w:val="lowerLetter"/>
      <w:lvlText w:val="%8."/>
      <w:lvlJc w:val="left"/>
      <w:pPr>
        <w:ind w:left="10800" w:hanging="360"/>
      </w:pPr>
    </w:lvl>
    <w:lvl w:ilvl="8" w:tplc="0409001B">
      <w:start w:val="1"/>
      <w:numFmt w:val="lowerRoman"/>
      <w:lvlText w:val="%9."/>
      <w:lvlJc w:val="right"/>
      <w:pPr>
        <w:ind w:left="11520" w:hanging="180"/>
      </w:pPr>
    </w:lvl>
  </w:abstractNum>
  <w:abstractNum w:abstractNumId="16" w15:restartNumberingAfterBreak="0">
    <w:nsid w:val="22501867"/>
    <w:multiLevelType w:val="hybridMultilevel"/>
    <w:tmpl w:val="2408A054"/>
    <w:lvl w:ilvl="0" w:tplc="FFFFFFFF">
      <w:start w:val="1"/>
      <w:numFmt w:val="decimal"/>
      <w:lvlText w:val="%1."/>
      <w:lvlJc w:val="left"/>
      <w:pPr>
        <w:ind w:left="900" w:hanging="360"/>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5377AEF"/>
    <w:multiLevelType w:val="hybridMultilevel"/>
    <w:tmpl w:val="0E52C2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AC404C"/>
    <w:multiLevelType w:val="hybridMultilevel"/>
    <w:tmpl w:val="EC482F0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9" w15:restartNumberingAfterBreak="0">
    <w:nsid w:val="2CA91A73"/>
    <w:multiLevelType w:val="hybridMultilevel"/>
    <w:tmpl w:val="A746B474"/>
    <w:lvl w:ilvl="0" w:tplc="0409001B">
      <w:start w:val="1"/>
      <w:numFmt w:val="lowerRoman"/>
      <w:lvlText w:val="%1."/>
      <w:lvlJc w:val="righ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2E12D04"/>
    <w:multiLevelType w:val="hybridMultilevel"/>
    <w:tmpl w:val="0666DB0C"/>
    <w:lvl w:ilvl="0" w:tplc="0409000F">
      <w:start w:val="1"/>
      <w:numFmt w:val="decimal"/>
      <w:lvlText w:val="%1."/>
      <w:lvlJc w:val="left"/>
      <w:pPr>
        <w:tabs>
          <w:tab w:val="num" w:pos="1447"/>
        </w:tabs>
        <w:ind w:left="1447" w:hanging="360"/>
      </w:pPr>
    </w:lvl>
    <w:lvl w:ilvl="1" w:tplc="04090019" w:tentative="1">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abstractNum w:abstractNumId="21" w15:restartNumberingAfterBreak="0">
    <w:nsid w:val="35996AFE"/>
    <w:multiLevelType w:val="hybridMultilevel"/>
    <w:tmpl w:val="29E6DE2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A750F9"/>
    <w:multiLevelType w:val="hybridMultilevel"/>
    <w:tmpl w:val="3050DA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3CC50302"/>
    <w:multiLevelType w:val="multilevel"/>
    <w:tmpl w:val="36FA8402"/>
    <w:lvl w:ilvl="0">
      <w:start w:val="1"/>
      <w:numFmt w:val="decimal"/>
      <w:lvlText w:val="%1."/>
      <w:lvlJc w:val="left"/>
      <w:pPr>
        <w:tabs>
          <w:tab w:val="num" w:pos="2040"/>
        </w:tabs>
        <w:ind w:left="2040" w:hanging="960"/>
      </w:pPr>
      <w:rPr>
        <w:rFonts w:ascii="Times New Roman" w:eastAsia="Times New Roman" w:hAnsi="Times New Roman" w:cs="Times New Roman"/>
        <w:b w:val="0"/>
      </w:rPr>
    </w:lvl>
    <w:lvl w:ilvl="1">
      <w:start w:val="1"/>
      <w:numFmt w:val="lowerLetter"/>
      <w:lvlText w:val="%2."/>
      <w:lvlJc w:val="left"/>
      <w:pPr>
        <w:tabs>
          <w:tab w:val="num" w:pos="1980"/>
        </w:tabs>
        <w:ind w:left="1980" w:hanging="360"/>
      </w:pPr>
      <w:rPr>
        <w:rFonts w:ascii="Times New Roman" w:eastAsia="Times New Roman" w:hAnsi="Times New Roman" w:cs="Times New Roman"/>
      </w:rPr>
    </w:lvl>
    <w:lvl w:ilvl="2">
      <w:start w:val="1"/>
      <w:numFmt w:val="lowerLetter"/>
      <w:lvlText w:val="%3."/>
      <w:lvlJc w:val="right"/>
      <w:pPr>
        <w:tabs>
          <w:tab w:val="num" w:pos="2700"/>
        </w:tabs>
        <w:ind w:left="2700" w:hanging="180"/>
      </w:pPr>
      <w:rPr>
        <w:rFonts w:hint="default"/>
        <w:b w:val="0"/>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24" w15:restartNumberingAfterBreak="0">
    <w:nsid w:val="412D1F49"/>
    <w:multiLevelType w:val="hybridMultilevel"/>
    <w:tmpl w:val="C6A09606"/>
    <w:lvl w:ilvl="0" w:tplc="04090019">
      <w:start w:val="1"/>
      <w:numFmt w:val="lowerLetter"/>
      <w:lvlText w:val="%1."/>
      <w:lvlJc w:val="left"/>
      <w:pPr>
        <w:ind w:left="5040" w:hanging="360"/>
      </w:pPr>
    </w:lvl>
    <w:lvl w:ilvl="1" w:tplc="04090019">
      <w:start w:val="1"/>
      <w:numFmt w:val="lowerLetter"/>
      <w:lvlText w:val="%2."/>
      <w:lvlJc w:val="left"/>
      <w:pPr>
        <w:ind w:left="5760" w:hanging="360"/>
      </w:pPr>
    </w:lvl>
    <w:lvl w:ilvl="2" w:tplc="0409001B">
      <w:start w:val="1"/>
      <w:numFmt w:val="lowerRoman"/>
      <w:lvlText w:val="%3."/>
      <w:lvlJc w:val="right"/>
      <w:pPr>
        <w:ind w:left="6480" w:hanging="180"/>
      </w:pPr>
    </w:lvl>
    <w:lvl w:ilvl="3" w:tplc="0409000F">
      <w:start w:val="1"/>
      <w:numFmt w:val="decimal"/>
      <w:lvlText w:val="%4."/>
      <w:lvlJc w:val="left"/>
      <w:pPr>
        <w:ind w:left="7200" w:hanging="360"/>
      </w:pPr>
    </w:lvl>
    <w:lvl w:ilvl="4" w:tplc="04090019">
      <w:start w:val="1"/>
      <w:numFmt w:val="lowerLetter"/>
      <w:lvlText w:val="%5."/>
      <w:lvlJc w:val="left"/>
      <w:pPr>
        <w:ind w:left="7920" w:hanging="360"/>
      </w:pPr>
    </w:lvl>
    <w:lvl w:ilvl="5" w:tplc="0409001B">
      <w:start w:val="1"/>
      <w:numFmt w:val="lowerRoman"/>
      <w:lvlText w:val="%6."/>
      <w:lvlJc w:val="right"/>
      <w:pPr>
        <w:ind w:left="8640" w:hanging="180"/>
      </w:pPr>
    </w:lvl>
    <w:lvl w:ilvl="6" w:tplc="0409000F">
      <w:start w:val="1"/>
      <w:numFmt w:val="decimal"/>
      <w:lvlText w:val="%7."/>
      <w:lvlJc w:val="left"/>
      <w:pPr>
        <w:ind w:left="9360" w:hanging="360"/>
      </w:pPr>
    </w:lvl>
    <w:lvl w:ilvl="7" w:tplc="04090019">
      <w:start w:val="1"/>
      <w:numFmt w:val="lowerLetter"/>
      <w:lvlText w:val="%8."/>
      <w:lvlJc w:val="left"/>
      <w:pPr>
        <w:ind w:left="10080" w:hanging="360"/>
      </w:pPr>
    </w:lvl>
    <w:lvl w:ilvl="8" w:tplc="0409001B">
      <w:start w:val="1"/>
      <w:numFmt w:val="lowerRoman"/>
      <w:lvlText w:val="%9."/>
      <w:lvlJc w:val="right"/>
      <w:pPr>
        <w:ind w:left="10800" w:hanging="180"/>
      </w:pPr>
    </w:lvl>
  </w:abstractNum>
  <w:abstractNum w:abstractNumId="25" w15:restartNumberingAfterBreak="0">
    <w:nsid w:val="422A1A33"/>
    <w:multiLevelType w:val="hybridMultilevel"/>
    <w:tmpl w:val="9D64A52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53A123B"/>
    <w:multiLevelType w:val="hybridMultilevel"/>
    <w:tmpl w:val="3DD80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60E3B75"/>
    <w:multiLevelType w:val="multilevel"/>
    <w:tmpl w:val="4B02DFB6"/>
    <w:lvl w:ilvl="0">
      <w:start w:val="1"/>
      <w:numFmt w:val="decimal"/>
      <w:lvlText w:val="%1."/>
      <w:lvlJc w:val="left"/>
      <w:pPr>
        <w:tabs>
          <w:tab w:val="num" w:pos="1680"/>
        </w:tabs>
        <w:ind w:left="1680" w:hanging="960"/>
      </w:pPr>
      <w:rPr>
        <w:rFonts w:ascii="Times New Roman" w:eastAsia="Times New Roman" w:hAnsi="Times New Roman" w:cs="Times New Roman"/>
        <w:b w:val="0"/>
      </w:rPr>
    </w:lvl>
    <w:lvl w:ilvl="1">
      <w:start w:val="1"/>
      <w:numFmt w:val="lowerLetter"/>
      <w:lvlText w:val="%2."/>
      <w:lvlJc w:val="left"/>
      <w:pPr>
        <w:tabs>
          <w:tab w:val="num" w:pos="1620"/>
        </w:tabs>
        <w:ind w:left="1620" w:hanging="360"/>
      </w:pPr>
      <w:rPr>
        <w:rFonts w:ascii="Times New Roman" w:eastAsia="Times New Roman" w:hAnsi="Times New Roman" w:cs="Times New Roman"/>
      </w:rPr>
    </w:lvl>
    <w:lvl w:ilvl="2">
      <w:start w:val="1"/>
      <w:numFmt w:val="lowerLetter"/>
      <w:lvlText w:val="%3."/>
      <w:lvlJc w:val="right"/>
      <w:pPr>
        <w:tabs>
          <w:tab w:val="num" w:pos="2340"/>
        </w:tabs>
        <w:ind w:left="2340" w:hanging="180"/>
      </w:pPr>
      <w:rPr>
        <w:rFonts w:hint="default"/>
        <w:b w:val="0"/>
      </w:rPr>
    </w:lvl>
    <w:lvl w:ilvl="3">
      <w:start w:val="1"/>
      <w:numFmt w:val="decimal"/>
      <w:lvlText w:val="%4."/>
      <w:lvlJc w:val="left"/>
      <w:pPr>
        <w:tabs>
          <w:tab w:val="num" w:pos="900"/>
        </w:tabs>
        <w:ind w:left="90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28" w15:restartNumberingAfterBreak="0">
    <w:nsid w:val="463221D2"/>
    <w:multiLevelType w:val="hybridMultilevel"/>
    <w:tmpl w:val="29C2531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366877"/>
    <w:multiLevelType w:val="multilevel"/>
    <w:tmpl w:val="1CF2F90E"/>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Times New Roman" w:hAnsi="Times New Roman" w:cs="Times New Roman"/>
        <w:i w:val="0"/>
      </w:rPr>
    </w:lvl>
    <w:lvl w:ilvl="2">
      <w:start w:val="1"/>
      <w:numFmt w:val="lowerRoman"/>
      <w:lvlText w:val="%3."/>
      <w:lvlJc w:val="right"/>
      <w:pPr>
        <w:ind w:left="1800" w:hanging="360"/>
      </w:p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D172794"/>
    <w:multiLevelType w:val="hybridMultilevel"/>
    <w:tmpl w:val="070E1D9A"/>
    <w:lvl w:ilvl="0" w:tplc="04090015">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1" w15:restartNumberingAfterBreak="0">
    <w:nsid w:val="4D370BBF"/>
    <w:multiLevelType w:val="hybridMultilevel"/>
    <w:tmpl w:val="A7A25F34"/>
    <w:lvl w:ilvl="0" w:tplc="C6C28810">
      <w:start w:val="1"/>
      <w:numFmt w:val="lowerRoman"/>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4DB556AE"/>
    <w:multiLevelType w:val="hybridMultilevel"/>
    <w:tmpl w:val="6A4A31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4F6466C7"/>
    <w:multiLevelType w:val="hybridMultilevel"/>
    <w:tmpl w:val="48C4EF96"/>
    <w:lvl w:ilvl="0" w:tplc="016254F8">
      <w:start w:val="3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36129"/>
    <w:multiLevelType w:val="hybridMultilevel"/>
    <w:tmpl w:val="886E7C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F62600"/>
    <w:multiLevelType w:val="hybridMultilevel"/>
    <w:tmpl w:val="6A4A3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B9528B5"/>
    <w:multiLevelType w:val="hybridMultilevel"/>
    <w:tmpl w:val="6A4A31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5CF02C65"/>
    <w:multiLevelType w:val="hybridMultilevel"/>
    <w:tmpl w:val="9324617C"/>
    <w:lvl w:ilvl="0" w:tplc="FFFFFFFF">
      <w:start w:val="1"/>
      <w:numFmt w:val="decimal"/>
      <w:lvlText w:val="%1."/>
      <w:lvlJc w:val="left"/>
      <w:pPr>
        <w:ind w:left="720" w:hanging="360"/>
      </w:pPr>
    </w:lvl>
    <w:lvl w:ilvl="1" w:tplc="0409000F">
      <w:start w:val="1"/>
      <w:numFmt w:val="decimal"/>
      <w:lvlText w:val="%2."/>
      <w:lvlJc w:val="left"/>
      <w:pPr>
        <w:ind w:left="135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5DC63B12"/>
    <w:multiLevelType w:val="hybridMultilevel"/>
    <w:tmpl w:val="D90C1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E1B6A65"/>
    <w:multiLevelType w:val="hybridMultilevel"/>
    <w:tmpl w:val="C9AEC69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0" w15:restartNumberingAfterBreak="0">
    <w:nsid w:val="60295E14"/>
    <w:multiLevelType w:val="hybridMultilevel"/>
    <w:tmpl w:val="F5E2787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1" w15:restartNumberingAfterBreak="0">
    <w:nsid w:val="61774F15"/>
    <w:multiLevelType w:val="hybridMultilevel"/>
    <w:tmpl w:val="2408A054"/>
    <w:lvl w:ilvl="0" w:tplc="6D6417E4">
      <w:start w:val="1"/>
      <w:numFmt w:val="decimal"/>
      <w:lvlText w:val="%1."/>
      <w:lvlJc w:val="left"/>
      <w:pPr>
        <w:ind w:left="108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5E37CF3"/>
    <w:multiLevelType w:val="hybridMultilevel"/>
    <w:tmpl w:val="AF5CCB2A"/>
    <w:lvl w:ilvl="0" w:tplc="FFFFFFFF">
      <w:start w:val="7"/>
      <w:numFmt w:val="decimal"/>
      <w:lvlText w:val="%1."/>
      <w:lvlJc w:val="left"/>
      <w:pPr>
        <w:ind w:left="1440" w:hanging="360"/>
      </w:pPr>
    </w:lvl>
    <w:lvl w:ilvl="1" w:tplc="0409001B">
      <w:start w:val="1"/>
      <w:numFmt w:val="lowerRoman"/>
      <w:lvlText w:val="%2."/>
      <w:lvlJc w:val="righ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3" w15:restartNumberingAfterBreak="0">
    <w:nsid w:val="69B46330"/>
    <w:multiLevelType w:val="hybridMultilevel"/>
    <w:tmpl w:val="F22AE730"/>
    <w:lvl w:ilvl="0" w:tplc="AD528FEC">
      <w:start w:val="1"/>
      <w:numFmt w:val="upperLetter"/>
      <w:lvlText w:val="%1."/>
      <w:lvlJc w:val="left"/>
      <w:pPr>
        <w:tabs>
          <w:tab w:val="num" w:pos="720"/>
        </w:tabs>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017CCA"/>
    <w:multiLevelType w:val="hybridMultilevel"/>
    <w:tmpl w:val="5602F840"/>
    <w:lvl w:ilvl="0" w:tplc="DB5E2904">
      <w:start w:val="7"/>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70A240E0"/>
    <w:multiLevelType w:val="hybridMultilevel"/>
    <w:tmpl w:val="0B8C39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70EB3661"/>
    <w:multiLevelType w:val="hybridMultilevel"/>
    <w:tmpl w:val="2408A054"/>
    <w:lvl w:ilvl="0" w:tplc="FFFFFFFF">
      <w:start w:val="1"/>
      <w:numFmt w:val="decimal"/>
      <w:lvlText w:val="%1."/>
      <w:lvlJc w:val="left"/>
      <w:pPr>
        <w:ind w:left="900" w:hanging="360"/>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73F122FF"/>
    <w:multiLevelType w:val="hybridMultilevel"/>
    <w:tmpl w:val="9000E3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48602A9"/>
    <w:multiLevelType w:val="multilevel"/>
    <w:tmpl w:val="67081618"/>
    <w:lvl w:ilvl="0">
      <w:start w:val="1"/>
      <w:numFmt w:val="decimal"/>
      <w:lvlText w:val="%1."/>
      <w:lvlJc w:val="left"/>
      <w:pPr>
        <w:tabs>
          <w:tab w:val="num" w:pos="2040"/>
        </w:tabs>
        <w:ind w:left="2040" w:hanging="960"/>
      </w:pPr>
      <w:rPr>
        <w:rFonts w:ascii="Times New Roman" w:eastAsia="Times New Roman" w:hAnsi="Times New Roman" w:cs="Times New Roman" w:hint="default"/>
        <w:b w:val="0"/>
      </w:rPr>
    </w:lvl>
    <w:lvl w:ilvl="1">
      <w:start w:val="1"/>
      <w:numFmt w:val="lowerLetter"/>
      <w:lvlText w:val="%2."/>
      <w:lvlJc w:val="left"/>
      <w:pPr>
        <w:tabs>
          <w:tab w:val="num" w:pos="1980"/>
        </w:tabs>
        <w:ind w:left="1980" w:hanging="360"/>
      </w:pPr>
      <w:rPr>
        <w:rFonts w:ascii="Times New Roman" w:eastAsia="Times New Roman" w:hAnsi="Times New Roman" w:cs="Times New Roman" w:hint="default"/>
      </w:rPr>
    </w:lvl>
    <w:lvl w:ilvl="2">
      <w:start w:val="1"/>
      <w:numFmt w:val="lowerRoman"/>
      <w:lvlText w:val="%3."/>
      <w:lvlJc w:val="right"/>
      <w:pPr>
        <w:tabs>
          <w:tab w:val="num" w:pos="2700"/>
        </w:tabs>
        <w:ind w:left="2700" w:hanging="180"/>
      </w:pPr>
      <w:rPr>
        <w:rFonts w:hint="default"/>
        <w:b w:val="0"/>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49" w15:restartNumberingAfterBreak="0">
    <w:nsid w:val="75046871"/>
    <w:multiLevelType w:val="hybridMultilevel"/>
    <w:tmpl w:val="2B863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C915B2"/>
    <w:multiLevelType w:val="hybridMultilevel"/>
    <w:tmpl w:val="F8C66726"/>
    <w:lvl w:ilvl="0" w:tplc="A1C6C8A8">
      <w:start w:val="6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B749A6"/>
    <w:multiLevelType w:val="hybridMultilevel"/>
    <w:tmpl w:val="4EB015DC"/>
    <w:lvl w:ilvl="0" w:tplc="04090019">
      <w:start w:val="1"/>
      <w:numFmt w:val="lowerLetter"/>
      <w:lvlText w:val="%1."/>
      <w:lvlJc w:val="left"/>
      <w:pPr>
        <w:ind w:left="4320" w:hanging="360"/>
      </w:p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start w:val="1"/>
      <w:numFmt w:val="lowerLetter"/>
      <w:lvlText w:val="%5."/>
      <w:lvlJc w:val="left"/>
      <w:pPr>
        <w:ind w:left="7200" w:hanging="360"/>
      </w:pPr>
    </w:lvl>
    <w:lvl w:ilvl="5" w:tplc="0409001B">
      <w:start w:val="1"/>
      <w:numFmt w:val="lowerRoman"/>
      <w:lvlText w:val="%6."/>
      <w:lvlJc w:val="right"/>
      <w:pPr>
        <w:ind w:left="7920" w:hanging="180"/>
      </w:pPr>
    </w:lvl>
    <w:lvl w:ilvl="6" w:tplc="0409000F">
      <w:start w:val="1"/>
      <w:numFmt w:val="decimal"/>
      <w:lvlText w:val="%7."/>
      <w:lvlJc w:val="left"/>
      <w:pPr>
        <w:ind w:left="8640" w:hanging="360"/>
      </w:p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num w:numId="1" w16cid:durableId="285817614">
    <w:abstractNumId w:val="21"/>
  </w:num>
  <w:num w:numId="2" w16cid:durableId="219901454">
    <w:abstractNumId w:val="20"/>
  </w:num>
  <w:num w:numId="3" w16cid:durableId="1533374181">
    <w:abstractNumId w:val="27"/>
  </w:num>
  <w:num w:numId="4" w16cid:durableId="935671510">
    <w:abstractNumId w:val="43"/>
  </w:num>
  <w:num w:numId="5" w16cid:durableId="1505165872">
    <w:abstractNumId w:val="0"/>
  </w:num>
  <w:num w:numId="6" w16cid:durableId="914440905">
    <w:abstractNumId w:val="3"/>
  </w:num>
  <w:num w:numId="7" w16cid:durableId="1975594641">
    <w:abstractNumId w:val="6"/>
  </w:num>
  <w:num w:numId="8" w16cid:durableId="107164082">
    <w:abstractNumId w:val="34"/>
  </w:num>
  <w:num w:numId="9" w16cid:durableId="291910986">
    <w:abstractNumId w:val="48"/>
  </w:num>
  <w:num w:numId="10" w16cid:durableId="1325279234">
    <w:abstractNumId w:val="14"/>
  </w:num>
  <w:num w:numId="11" w16cid:durableId="1598369650">
    <w:abstractNumId w:val="4"/>
  </w:num>
  <w:num w:numId="12" w16cid:durableId="95684693">
    <w:abstractNumId w:val="23"/>
  </w:num>
  <w:num w:numId="13" w16cid:durableId="1408649428">
    <w:abstractNumId w:val="17"/>
  </w:num>
  <w:num w:numId="14" w16cid:durableId="1981305427">
    <w:abstractNumId w:val="7"/>
  </w:num>
  <w:num w:numId="15" w16cid:durableId="1807624544">
    <w:abstractNumId w:val="12"/>
  </w:num>
  <w:num w:numId="16" w16cid:durableId="1794784801">
    <w:abstractNumId w:val="1"/>
  </w:num>
  <w:num w:numId="17" w16cid:durableId="562445824">
    <w:abstractNumId w:val="47"/>
  </w:num>
  <w:num w:numId="18" w16cid:durableId="1065227108">
    <w:abstractNumId w:val="2"/>
  </w:num>
  <w:num w:numId="19" w16cid:durableId="9962060">
    <w:abstractNumId w:val="29"/>
  </w:num>
  <w:num w:numId="20" w16cid:durableId="2137790687">
    <w:abstractNumId w:val="33"/>
  </w:num>
  <w:num w:numId="21" w16cid:durableId="914895010">
    <w:abstractNumId w:val="50"/>
  </w:num>
  <w:num w:numId="22" w16cid:durableId="1638338817">
    <w:abstractNumId w:val="49"/>
  </w:num>
  <w:num w:numId="23" w16cid:durableId="17763650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22513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91541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57664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123370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84418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32374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009618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21104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50567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48507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51784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8214535">
    <w:abstractNumId w:val="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50218483">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514987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985664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74996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369273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47749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92059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48065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658246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943642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202821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7175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80179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550548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0396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21802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657155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CE6"/>
    <w:rsid w:val="0000060C"/>
    <w:rsid w:val="000206F5"/>
    <w:rsid w:val="000225A8"/>
    <w:rsid w:val="00025E32"/>
    <w:rsid w:val="00031808"/>
    <w:rsid w:val="0003458A"/>
    <w:rsid w:val="000427D5"/>
    <w:rsid w:val="00046852"/>
    <w:rsid w:val="00050357"/>
    <w:rsid w:val="000550B8"/>
    <w:rsid w:val="00067242"/>
    <w:rsid w:val="0007653B"/>
    <w:rsid w:val="00083140"/>
    <w:rsid w:val="0009088B"/>
    <w:rsid w:val="00094B94"/>
    <w:rsid w:val="00096DD0"/>
    <w:rsid w:val="000A1144"/>
    <w:rsid w:val="000A3845"/>
    <w:rsid w:val="000A7571"/>
    <w:rsid w:val="000B38CE"/>
    <w:rsid w:val="000B6BE3"/>
    <w:rsid w:val="000B72CE"/>
    <w:rsid w:val="000B7B95"/>
    <w:rsid w:val="000C1C8C"/>
    <w:rsid w:val="000D18C6"/>
    <w:rsid w:val="000D302C"/>
    <w:rsid w:val="000D3267"/>
    <w:rsid w:val="000D36F3"/>
    <w:rsid w:val="000E1E51"/>
    <w:rsid w:val="000F1E2E"/>
    <w:rsid w:val="000F3938"/>
    <w:rsid w:val="000F5FE1"/>
    <w:rsid w:val="00100545"/>
    <w:rsid w:val="00106D6E"/>
    <w:rsid w:val="001070F3"/>
    <w:rsid w:val="00112177"/>
    <w:rsid w:val="001128C0"/>
    <w:rsid w:val="00126DA5"/>
    <w:rsid w:val="0012729E"/>
    <w:rsid w:val="001276CB"/>
    <w:rsid w:val="00131603"/>
    <w:rsid w:val="00133349"/>
    <w:rsid w:val="00133640"/>
    <w:rsid w:val="001419CE"/>
    <w:rsid w:val="00145D78"/>
    <w:rsid w:val="00147A8C"/>
    <w:rsid w:val="001502C6"/>
    <w:rsid w:val="001526C6"/>
    <w:rsid w:val="00152DA8"/>
    <w:rsid w:val="001558D1"/>
    <w:rsid w:val="00166470"/>
    <w:rsid w:val="00172296"/>
    <w:rsid w:val="00183F49"/>
    <w:rsid w:val="001902B5"/>
    <w:rsid w:val="001940D3"/>
    <w:rsid w:val="00197D54"/>
    <w:rsid w:val="001A0819"/>
    <w:rsid w:val="001A384A"/>
    <w:rsid w:val="001A3A37"/>
    <w:rsid w:val="001A4B33"/>
    <w:rsid w:val="001A7C1B"/>
    <w:rsid w:val="001B0420"/>
    <w:rsid w:val="001B1233"/>
    <w:rsid w:val="001B34C7"/>
    <w:rsid w:val="001B6828"/>
    <w:rsid w:val="001B6A0B"/>
    <w:rsid w:val="001D2DD5"/>
    <w:rsid w:val="001D6459"/>
    <w:rsid w:val="001E0638"/>
    <w:rsid w:val="001E1C52"/>
    <w:rsid w:val="001F0C29"/>
    <w:rsid w:val="001F2C9C"/>
    <w:rsid w:val="00201480"/>
    <w:rsid w:val="00205188"/>
    <w:rsid w:val="00207203"/>
    <w:rsid w:val="002079E3"/>
    <w:rsid w:val="00211182"/>
    <w:rsid w:val="0021123E"/>
    <w:rsid w:val="00211A2F"/>
    <w:rsid w:val="00211AEE"/>
    <w:rsid w:val="00216F04"/>
    <w:rsid w:val="002246A6"/>
    <w:rsid w:val="00237FEE"/>
    <w:rsid w:val="00241BED"/>
    <w:rsid w:val="00241C88"/>
    <w:rsid w:val="00243EF5"/>
    <w:rsid w:val="00253B6C"/>
    <w:rsid w:val="00260CF5"/>
    <w:rsid w:val="00263EB6"/>
    <w:rsid w:val="00271E0B"/>
    <w:rsid w:val="0027263F"/>
    <w:rsid w:val="0027265E"/>
    <w:rsid w:val="00273295"/>
    <w:rsid w:val="00276697"/>
    <w:rsid w:val="00277262"/>
    <w:rsid w:val="00282181"/>
    <w:rsid w:val="00285D8E"/>
    <w:rsid w:val="00287A37"/>
    <w:rsid w:val="002926B9"/>
    <w:rsid w:val="00295FCF"/>
    <w:rsid w:val="002A0A9D"/>
    <w:rsid w:val="002A111E"/>
    <w:rsid w:val="002A3653"/>
    <w:rsid w:val="002A61DE"/>
    <w:rsid w:val="002B5186"/>
    <w:rsid w:val="002B5E83"/>
    <w:rsid w:val="002B6CCF"/>
    <w:rsid w:val="002D127B"/>
    <w:rsid w:val="002D5441"/>
    <w:rsid w:val="002E5D1C"/>
    <w:rsid w:val="002E7FB8"/>
    <w:rsid w:val="002F0A3A"/>
    <w:rsid w:val="002F346B"/>
    <w:rsid w:val="002F348B"/>
    <w:rsid w:val="002F50E5"/>
    <w:rsid w:val="002F5D8F"/>
    <w:rsid w:val="00304DA3"/>
    <w:rsid w:val="00305BA1"/>
    <w:rsid w:val="00306918"/>
    <w:rsid w:val="0031313C"/>
    <w:rsid w:val="003154E5"/>
    <w:rsid w:val="00316CE6"/>
    <w:rsid w:val="003209D8"/>
    <w:rsid w:val="00330099"/>
    <w:rsid w:val="00332A69"/>
    <w:rsid w:val="00342917"/>
    <w:rsid w:val="00346B66"/>
    <w:rsid w:val="003474A1"/>
    <w:rsid w:val="003527B4"/>
    <w:rsid w:val="00362E60"/>
    <w:rsid w:val="003641DF"/>
    <w:rsid w:val="003651D6"/>
    <w:rsid w:val="00382AE1"/>
    <w:rsid w:val="00384C45"/>
    <w:rsid w:val="003902E8"/>
    <w:rsid w:val="003B1F70"/>
    <w:rsid w:val="003B4AD0"/>
    <w:rsid w:val="003B5E37"/>
    <w:rsid w:val="003B5F71"/>
    <w:rsid w:val="003C3252"/>
    <w:rsid w:val="003C7188"/>
    <w:rsid w:val="003D77E2"/>
    <w:rsid w:val="003E4912"/>
    <w:rsid w:val="003E7BBC"/>
    <w:rsid w:val="003F1B00"/>
    <w:rsid w:val="003F797E"/>
    <w:rsid w:val="003F7EB5"/>
    <w:rsid w:val="00401E62"/>
    <w:rsid w:val="00402B77"/>
    <w:rsid w:val="0040549B"/>
    <w:rsid w:val="00412BEC"/>
    <w:rsid w:val="004171F4"/>
    <w:rsid w:val="00422666"/>
    <w:rsid w:val="00423DE7"/>
    <w:rsid w:val="00433290"/>
    <w:rsid w:val="00433790"/>
    <w:rsid w:val="00441B96"/>
    <w:rsid w:val="00442ED5"/>
    <w:rsid w:val="004442DD"/>
    <w:rsid w:val="004537D3"/>
    <w:rsid w:val="00460041"/>
    <w:rsid w:val="00460330"/>
    <w:rsid w:val="00460718"/>
    <w:rsid w:val="0046312A"/>
    <w:rsid w:val="00464982"/>
    <w:rsid w:val="00467694"/>
    <w:rsid w:val="00471F1B"/>
    <w:rsid w:val="00472129"/>
    <w:rsid w:val="0047583C"/>
    <w:rsid w:val="004818D9"/>
    <w:rsid w:val="004819FA"/>
    <w:rsid w:val="00482743"/>
    <w:rsid w:val="004866B8"/>
    <w:rsid w:val="00491CAD"/>
    <w:rsid w:val="004943AC"/>
    <w:rsid w:val="00494C4B"/>
    <w:rsid w:val="00495C77"/>
    <w:rsid w:val="004B2892"/>
    <w:rsid w:val="004B6456"/>
    <w:rsid w:val="004C12C5"/>
    <w:rsid w:val="004C752B"/>
    <w:rsid w:val="004D53F1"/>
    <w:rsid w:val="004D78F4"/>
    <w:rsid w:val="004E72BF"/>
    <w:rsid w:val="004F22C8"/>
    <w:rsid w:val="004F397C"/>
    <w:rsid w:val="005045D3"/>
    <w:rsid w:val="00520423"/>
    <w:rsid w:val="00520685"/>
    <w:rsid w:val="005341E5"/>
    <w:rsid w:val="005358F8"/>
    <w:rsid w:val="00543269"/>
    <w:rsid w:val="00554978"/>
    <w:rsid w:val="00561D18"/>
    <w:rsid w:val="00574346"/>
    <w:rsid w:val="005777EB"/>
    <w:rsid w:val="005867D0"/>
    <w:rsid w:val="00595D11"/>
    <w:rsid w:val="005A76E4"/>
    <w:rsid w:val="005B10B8"/>
    <w:rsid w:val="005B1172"/>
    <w:rsid w:val="005B3AAD"/>
    <w:rsid w:val="005B46D8"/>
    <w:rsid w:val="005B59A8"/>
    <w:rsid w:val="005C3EB9"/>
    <w:rsid w:val="005C41C3"/>
    <w:rsid w:val="005D2A56"/>
    <w:rsid w:val="005D41AA"/>
    <w:rsid w:val="005E3061"/>
    <w:rsid w:val="005F37D0"/>
    <w:rsid w:val="00603E77"/>
    <w:rsid w:val="0061556F"/>
    <w:rsid w:val="00617817"/>
    <w:rsid w:val="006203A9"/>
    <w:rsid w:val="006211D9"/>
    <w:rsid w:val="00621EF5"/>
    <w:rsid w:val="00622FE5"/>
    <w:rsid w:val="006264F0"/>
    <w:rsid w:val="006271E2"/>
    <w:rsid w:val="00633FCF"/>
    <w:rsid w:val="00636D88"/>
    <w:rsid w:val="00641613"/>
    <w:rsid w:val="00641EDF"/>
    <w:rsid w:val="006420DB"/>
    <w:rsid w:val="006457EF"/>
    <w:rsid w:val="0065257E"/>
    <w:rsid w:val="00662A25"/>
    <w:rsid w:val="006655BA"/>
    <w:rsid w:val="0066749A"/>
    <w:rsid w:val="00671AAC"/>
    <w:rsid w:val="006A15F0"/>
    <w:rsid w:val="006B1D40"/>
    <w:rsid w:val="006B31AE"/>
    <w:rsid w:val="006B3BE9"/>
    <w:rsid w:val="006B5A08"/>
    <w:rsid w:val="006C1FB3"/>
    <w:rsid w:val="006D0648"/>
    <w:rsid w:val="006D7BC6"/>
    <w:rsid w:val="006E4BE3"/>
    <w:rsid w:val="006E6C39"/>
    <w:rsid w:val="006F1E66"/>
    <w:rsid w:val="006F51C2"/>
    <w:rsid w:val="006F6C46"/>
    <w:rsid w:val="007001D4"/>
    <w:rsid w:val="00701549"/>
    <w:rsid w:val="00710FF0"/>
    <w:rsid w:val="00714203"/>
    <w:rsid w:val="00732843"/>
    <w:rsid w:val="00734214"/>
    <w:rsid w:val="007425C3"/>
    <w:rsid w:val="00754527"/>
    <w:rsid w:val="007609B4"/>
    <w:rsid w:val="0076607B"/>
    <w:rsid w:val="007759B0"/>
    <w:rsid w:val="00776855"/>
    <w:rsid w:val="00781CA2"/>
    <w:rsid w:val="00783EB8"/>
    <w:rsid w:val="00795737"/>
    <w:rsid w:val="007A411C"/>
    <w:rsid w:val="007A41D8"/>
    <w:rsid w:val="007A58E2"/>
    <w:rsid w:val="007A5B8A"/>
    <w:rsid w:val="007A5CCA"/>
    <w:rsid w:val="007A6750"/>
    <w:rsid w:val="007A6DC7"/>
    <w:rsid w:val="007B173E"/>
    <w:rsid w:val="007B6E37"/>
    <w:rsid w:val="007C4B2B"/>
    <w:rsid w:val="007C7372"/>
    <w:rsid w:val="007D4254"/>
    <w:rsid w:val="007E23A1"/>
    <w:rsid w:val="007E600B"/>
    <w:rsid w:val="007F1F34"/>
    <w:rsid w:val="007F287C"/>
    <w:rsid w:val="007F6C25"/>
    <w:rsid w:val="008139E9"/>
    <w:rsid w:val="008157F9"/>
    <w:rsid w:val="008225B5"/>
    <w:rsid w:val="008317AA"/>
    <w:rsid w:val="008318DF"/>
    <w:rsid w:val="00833909"/>
    <w:rsid w:val="00834E39"/>
    <w:rsid w:val="00836DB0"/>
    <w:rsid w:val="00842D9A"/>
    <w:rsid w:val="00845F85"/>
    <w:rsid w:val="00846D16"/>
    <w:rsid w:val="00850B76"/>
    <w:rsid w:val="008514DC"/>
    <w:rsid w:val="0085313D"/>
    <w:rsid w:val="00854A08"/>
    <w:rsid w:val="00864F2C"/>
    <w:rsid w:val="008652F1"/>
    <w:rsid w:val="00865383"/>
    <w:rsid w:val="00871665"/>
    <w:rsid w:val="008840A2"/>
    <w:rsid w:val="00896761"/>
    <w:rsid w:val="00897691"/>
    <w:rsid w:val="008A2188"/>
    <w:rsid w:val="008A2FC4"/>
    <w:rsid w:val="008A51C8"/>
    <w:rsid w:val="008A7A42"/>
    <w:rsid w:val="008B507E"/>
    <w:rsid w:val="008C2D5A"/>
    <w:rsid w:val="008C5CBA"/>
    <w:rsid w:val="008D2FBC"/>
    <w:rsid w:val="008D3AED"/>
    <w:rsid w:val="008D4D19"/>
    <w:rsid w:val="008E4BEE"/>
    <w:rsid w:val="008E4E7F"/>
    <w:rsid w:val="008E7CB3"/>
    <w:rsid w:val="008F1CDD"/>
    <w:rsid w:val="008F1F23"/>
    <w:rsid w:val="008F5B29"/>
    <w:rsid w:val="008F74D7"/>
    <w:rsid w:val="009124D0"/>
    <w:rsid w:val="00912DC7"/>
    <w:rsid w:val="00922C01"/>
    <w:rsid w:val="00925D26"/>
    <w:rsid w:val="00942375"/>
    <w:rsid w:val="009455C4"/>
    <w:rsid w:val="009522EE"/>
    <w:rsid w:val="00966F28"/>
    <w:rsid w:val="00974B13"/>
    <w:rsid w:val="009811FC"/>
    <w:rsid w:val="00982568"/>
    <w:rsid w:val="009933EC"/>
    <w:rsid w:val="009A1585"/>
    <w:rsid w:val="009A3411"/>
    <w:rsid w:val="009B40AF"/>
    <w:rsid w:val="009B7452"/>
    <w:rsid w:val="009C0E23"/>
    <w:rsid w:val="009C13CD"/>
    <w:rsid w:val="009C3399"/>
    <w:rsid w:val="009D12EA"/>
    <w:rsid w:val="009D3579"/>
    <w:rsid w:val="009D3D23"/>
    <w:rsid w:val="009E30A1"/>
    <w:rsid w:val="009E4975"/>
    <w:rsid w:val="009E5069"/>
    <w:rsid w:val="009F10BB"/>
    <w:rsid w:val="009F1653"/>
    <w:rsid w:val="00A0785C"/>
    <w:rsid w:val="00A12F8B"/>
    <w:rsid w:val="00A14D69"/>
    <w:rsid w:val="00A14E8C"/>
    <w:rsid w:val="00A15057"/>
    <w:rsid w:val="00A22AA8"/>
    <w:rsid w:val="00A23776"/>
    <w:rsid w:val="00A24231"/>
    <w:rsid w:val="00A268B3"/>
    <w:rsid w:val="00A26964"/>
    <w:rsid w:val="00A33EE1"/>
    <w:rsid w:val="00A4115E"/>
    <w:rsid w:val="00A41C52"/>
    <w:rsid w:val="00A45773"/>
    <w:rsid w:val="00A461FB"/>
    <w:rsid w:val="00A63358"/>
    <w:rsid w:val="00A7089A"/>
    <w:rsid w:val="00A70FCD"/>
    <w:rsid w:val="00A7518E"/>
    <w:rsid w:val="00A75F78"/>
    <w:rsid w:val="00A7695A"/>
    <w:rsid w:val="00A83979"/>
    <w:rsid w:val="00A90B4F"/>
    <w:rsid w:val="00A91661"/>
    <w:rsid w:val="00A92212"/>
    <w:rsid w:val="00A97230"/>
    <w:rsid w:val="00A9724B"/>
    <w:rsid w:val="00AB175A"/>
    <w:rsid w:val="00AB1A17"/>
    <w:rsid w:val="00AB2B8E"/>
    <w:rsid w:val="00AB3774"/>
    <w:rsid w:val="00AC00D7"/>
    <w:rsid w:val="00AC0AAA"/>
    <w:rsid w:val="00AC5F9B"/>
    <w:rsid w:val="00AD170A"/>
    <w:rsid w:val="00AD552A"/>
    <w:rsid w:val="00AD5B2F"/>
    <w:rsid w:val="00AE189E"/>
    <w:rsid w:val="00AE78EE"/>
    <w:rsid w:val="00AF178E"/>
    <w:rsid w:val="00B06EFD"/>
    <w:rsid w:val="00B12AE6"/>
    <w:rsid w:val="00B140D6"/>
    <w:rsid w:val="00B168D4"/>
    <w:rsid w:val="00B176C7"/>
    <w:rsid w:val="00B24119"/>
    <w:rsid w:val="00B2770E"/>
    <w:rsid w:val="00B30757"/>
    <w:rsid w:val="00B325FC"/>
    <w:rsid w:val="00B34505"/>
    <w:rsid w:val="00B36BD3"/>
    <w:rsid w:val="00B413F1"/>
    <w:rsid w:val="00B435D0"/>
    <w:rsid w:val="00B467C6"/>
    <w:rsid w:val="00B5090E"/>
    <w:rsid w:val="00B52B6D"/>
    <w:rsid w:val="00B54D11"/>
    <w:rsid w:val="00B54FC7"/>
    <w:rsid w:val="00B61975"/>
    <w:rsid w:val="00B6256E"/>
    <w:rsid w:val="00B638AA"/>
    <w:rsid w:val="00B64013"/>
    <w:rsid w:val="00B67597"/>
    <w:rsid w:val="00B7434A"/>
    <w:rsid w:val="00B8454B"/>
    <w:rsid w:val="00B84D5E"/>
    <w:rsid w:val="00B920A5"/>
    <w:rsid w:val="00BA64CF"/>
    <w:rsid w:val="00BA712A"/>
    <w:rsid w:val="00BB5762"/>
    <w:rsid w:val="00BC0A15"/>
    <w:rsid w:val="00BD63D9"/>
    <w:rsid w:val="00BE1D85"/>
    <w:rsid w:val="00BE3611"/>
    <w:rsid w:val="00BE5AFE"/>
    <w:rsid w:val="00BF370C"/>
    <w:rsid w:val="00C1387C"/>
    <w:rsid w:val="00C21246"/>
    <w:rsid w:val="00C26479"/>
    <w:rsid w:val="00C30476"/>
    <w:rsid w:val="00C44260"/>
    <w:rsid w:val="00C456CF"/>
    <w:rsid w:val="00C46769"/>
    <w:rsid w:val="00C52256"/>
    <w:rsid w:val="00C559E2"/>
    <w:rsid w:val="00C57D19"/>
    <w:rsid w:val="00C57EF6"/>
    <w:rsid w:val="00C61279"/>
    <w:rsid w:val="00C62EA4"/>
    <w:rsid w:val="00C6399B"/>
    <w:rsid w:val="00C6450E"/>
    <w:rsid w:val="00C65B96"/>
    <w:rsid w:val="00C676CB"/>
    <w:rsid w:val="00C71D54"/>
    <w:rsid w:val="00C7644C"/>
    <w:rsid w:val="00C77153"/>
    <w:rsid w:val="00C800BA"/>
    <w:rsid w:val="00C8156F"/>
    <w:rsid w:val="00C84CDA"/>
    <w:rsid w:val="00C86491"/>
    <w:rsid w:val="00C90298"/>
    <w:rsid w:val="00C91819"/>
    <w:rsid w:val="00C96A21"/>
    <w:rsid w:val="00C96F23"/>
    <w:rsid w:val="00CA06B9"/>
    <w:rsid w:val="00CA6218"/>
    <w:rsid w:val="00CA7D0E"/>
    <w:rsid w:val="00CB043A"/>
    <w:rsid w:val="00CC2177"/>
    <w:rsid w:val="00CC7D7F"/>
    <w:rsid w:val="00CD0964"/>
    <w:rsid w:val="00CD3659"/>
    <w:rsid w:val="00CE1CC0"/>
    <w:rsid w:val="00CE27B6"/>
    <w:rsid w:val="00CF6037"/>
    <w:rsid w:val="00CF71D9"/>
    <w:rsid w:val="00D1057E"/>
    <w:rsid w:val="00D11A50"/>
    <w:rsid w:val="00D17572"/>
    <w:rsid w:val="00D17E87"/>
    <w:rsid w:val="00D22259"/>
    <w:rsid w:val="00D25901"/>
    <w:rsid w:val="00D26ACE"/>
    <w:rsid w:val="00D3529C"/>
    <w:rsid w:val="00D35A2A"/>
    <w:rsid w:val="00D447BF"/>
    <w:rsid w:val="00D45BFA"/>
    <w:rsid w:val="00D467E5"/>
    <w:rsid w:val="00D46AD7"/>
    <w:rsid w:val="00D71F95"/>
    <w:rsid w:val="00D75672"/>
    <w:rsid w:val="00D77BBF"/>
    <w:rsid w:val="00D8154C"/>
    <w:rsid w:val="00D90881"/>
    <w:rsid w:val="00D93864"/>
    <w:rsid w:val="00D94A8D"/>
    <w:rsid w:val="00D96AE8"/>
    <w:rsid w:val="00D97215"/>
    <w:rsid w:val="00D975C6"/>
    <w:rsid w:val="00DA264F"/>
    <w:rsid w:val="00DA3EE2"/>
    <w:rsid w:val="00DA555B"/>
    <w:rsid w:val="00DB1702"/>
    <w:rsid w:val="00DC2CA8"/>
    <w:rsid w:val="00DC69A4"/>
    <w:rsid w:val="00DD3178"/>
    <w:rsid w:val="00DE470D"/>
    <w:rsid w:val="00DE7CAF"/>
    <w:rsid w:val="00DF5E06"/>
    <w:rsid w:val="00E04E6A"/>
    <w:rsid w:val="00E05AE9"/>
    <w:rsid w:val="00E175A4"/>
    <w:rsid w:val="00E179AE"/>
    <w:rsid w:val="00E2444C"/>
    <w:rsid w:val="00E25366"/>
    <w:rsid w:val="00E27D5E"/>
    <w:rsid w:val="00E30B19"/>
    <w:rsid w:val="00E37BD8"/>
    <w:rsid w:val="00E4074C"/>
    <w:rsid w:val="00E4201F"/>
    <w:rsid w:val="00E441C8"/>
    <w:rsid w:val="00E4625E"/>
    <w:rsid w:val="00E50949"/>
    <w:rsid w:val="00E51B44"/>
    <w:rsid w:val="00E5231C"/>
    <w:rsid w:val="00E532A8"/>
    <w:rsid w:val="00E57802"/>
    <w:rsid w:val="00E678FA"/>
    <w:rsid w:val="00E75D54"/>
    <w:rsid w:val="00E774EA"/>
    <w:rsid w:val="00E77803"/>
    <w:rsid w:val="00E80B74"/>
    <w:rsid w:val="00E8264D"/>
    <w:rsid w:val="00E842BA"/>
    <w:rsid w:val="00E86F3B"/>
    <w:rsid w:val="00E90439"/>
    <w:rsid w:val="00E929B2"/>
    <w:rsid w:val="00EA3F3F"/>
    <w:rsid w:val="00EA7756"/>
    <w:rsid w:val="00EA78DD"/>
    <w:rsid w:val="00EB1F5F"/>
    <w:rsid w:val="00EC0C44"/>
    <w:rsid w:val="00EC0CDD"/>
    <w:rsid w:val="00EC0D92"/>
    <w:rsid w:val="00ED2459"/>
    <w:rsid w:val="00ED2F3D"/>
    <w:rsid w:val="00ED601E"/>
    <w:rsid w:val="00EE3A21"/>
    <w:rsid w:val="00EE504A"/>
    <w:rsid w:val="00EE6445"/>
    <w:rsid w:val="00EE79A8"/>
    <w:rsid w:val="00EF6B19"/>
    <w:rsid w:val="00F01E64"/>
    <w:rsid w:val="00F023C1"/>
    <w:rsid w:val="00F024F2"/>
    <w:rsid w:val="00F04C35"/>
    <w:rsid w:val="00F10778"/>
    <w:rsid w:val="00F32AEF"/>
    <w:rsid w:val="00F53B39"/>
    <w:rsid w:val="00F60911"/>
    <w:rsid w:val="00F65D99"/>
    <w:rsid w:val="00F82200"/>
    <w:rsid w:val="00F92CBC"/>
    <w:rsid w:val="00F95329"/>
    <w:rsid w:val="00FA0CE0"/>
    <w:rsid w:val="00FA50A4"/>
    <w:rsid w:val="00FB176B"/>
    <w:rsid w:val="00FB3F67"/>
    <w:rsid w:val="00FB7673"/>
    <w:rsid w:val="00FC0C97"/>
    <w:rsid w:val="00FC3C54"/>
    <w:rsid w:val="00FC4061"/>
    <w:rsid w:val="00FC4964"/>
    <w:rsid w:val="00FE016E"/>
    <w:rsid w:val="00FF4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7028AB73"/>
  <w15:chartTrackingRefBased/>
  <w15:docId w15:val="{5E3CB987-BFBC-43B1-9A15-C5305408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61FB"/>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16CE6"/>
    <w:pPr>
      <w:tabs>
        <w:tab w:val="center" w:pos="4320"/>
        <w:tab w:val="right" w:pos="8640"/>
      </w:tabs>
    </w:pPr>
  </w:style>
  <w:style w:type="character" w:styleId="PageNumber">
    <w:name w:val="page number"/>
    <w:basedOn w:val="DefaultParagraphFont"/>
    <w:rsid w:val="00316CE6"/>
  </w:style>
  <w:style w:type="paragraph" w:styleId="Header">
    <w:name w:val="header"/>
    <w:basedOn w:val="Normal"/>
    <w:link w:val="HeaderChar"/>
    <w:uiPriority w:val="99"/>
    <w:rsid w:val="009E30A1"/>
    <w:pPr>
      <w:tabs>
        <w:tab w:val="center" w:pos="4320"/>
        <w:tab w:val="right" w:pos="8640"/>
      </w:tabs>
    </w:pPr>
  </w:style>
  <w:style w:type="character" w:styleId="Hyperlink">
    <w:name w:val="Hyperlink"/>
    <w:rsid w:val="00423DE7"/>
    <w:rPr>
      <w:color w:val="0563C1"/>
      <w:u w:val="single"/>
    </w:rPr>
  </w:style>
  <w:style w:type="paragraph" w:styleId="BalloonText">
    <w:name w:val="Balloon Text"/>
    <w:basedOn w:val="Normal"/>
    <w:link w:val="BalloonTextChar"/>
    <w:rsid w:val="00D75672"/>
    <w:rPr>
      <w:rFonts w:ascii="Segoe UI" w:hAnsi="Segoe UI" w:cs="Segoe UI"/>
      <w:sz w:val="18"/>
      <w:szCs w:val="18"/>
    </w:rPr>
  </w:style>
  <w:style w:type="character" w:customStyle="1" w:styleId="BalloonTextChar">
    <w:name w:val="Balloon Text Char"/>
    <w:link w:val="BalloonText"/>
    <w:rsid w:val="00D75672"/>
    <w:rPr>
      <w:rFonts w:ascii="Segoe UI" w:hAnsi="Segoe UI" w:cs="Segoe UI"/>
      <w:sz w:val="18"/>
      <w:szCs w:val="18"/>
    </w:rPr>
  </w:style>
  <w:style w:type="paragraph" w:styleId="BodyText">
    <w:name w:val="Body Text"/>
    <w:basedOn w:val="Normal"/>
    <w:link w:val="BodyTextChar"/>
    <w:uiPriority w:val="1"/>
    <w:qFormat/>
    <w:rsid w:val="007B6E37"/>
    <w:pPr>
      <w:widowControl w:val="0"/>
      <w:adjustRightInd/>
    </w:pPr>
    <w:rPr>
      <w:sz w:val="24"/>
      <w:szCs w:val="24"/>
    </w:rPr>
  </w:style>
  <w:style w:type="character" w:customStyle="1" w:styleId="BodyTextChar">
    <w:name w:val="Body Text Char"/>
    <w:link w:val="BodyText"/>
    <w:uiPriority w:val="1"/>
    <w:rsid w:val="007B6E37"/>
    <w:rPr>
      <w:sz w:val="24"/>
      <w:szCs w:val="24"/>
    </w:rPr>
  </w:style>
  <w:style w:type="character" w:customStyle="1" w:styleId="HeaderChar">
    <w:name w:val="Header Char"/>
    <w:basedOn w:val="DefaultParagraphFont"/>
    <w:link w:val="Header"/>
    <w:uiPriority w:val="99"/>
    <w:rsid w:val="00D3529C"/>
  </w:style>
  <w:style w:type="paragraph" w:styleId="ListParagraph">
    <w:name w:val="List Paragraph"/>
    <w:basedOn w:val="Normal"/>
    <w:uiPriority w:val="34"/>
    <w:qFormat/>
    <w:rsid w:val="00A9724B"/>
    <w:pPr>
      <w:ind w:left="720"/>
      <w:contextualSpacing/>
    </w:pPr>
  </w:style>
  <w:style w:type="character" w:styleId="CommentReference">
    <w:name w:val="annotation reference"/>
    <w:basedOn w:val="DefaultParagraphFont"/>
    <w:rsid w:val="00A7695A"/>
    <w:rPr>
      <w:sz w:val="16"/>
      <w:szCs w:val="16"/>
    </w:rPr>
  </w:style>
  <w:style w:type="paragraph" w:styleId="CommentText">
    <w:name w:val="annotation text"/>
    <w:basedOn w:val="Normal"/>
    <w:link w:val="CommentTextChar"/>
    <w:rsid w:val="00A7695A"/>
  </w:style>
  <w:style w:type="character" w:customStyle="1" w:styleId="CommentTextChar">
    <w:name w:val="Comment Text Char"/>
    <w:basedOn w:val="DefaultParagraphFont"/>
    <w:link w:val="CommentText"/>
    <w:rsid w:val="00A7695A"/>
  </w:style>
  <w:style w:type="paragraph" w:styleId="CommentSubject">
    <w:name w:val="annotation subject"/>
    <w:basedOn w:val="CommentText"/>
    <w:next w:val="CommentText"/>
    <w:link w:val="CommentSubjectChar"/>
    <w:rsid w:val="00A7695A"/>
    <w:rPr>
      <w:b/>
      <w:bCs/>
    </w:rPr>
  </w:style>
  <w:style w:type="character" w:customStyle="1" w:styleId="CommentSubjectChar">
    <w:name w:val="Comment Subject Char"/>
    <w:basedOn w:val="CommentTextChar"/>
    <w:link w:val="CommentSubject"/>
    <w:rsid w:val="00A7695A"/>
    <w:rPr>
      <w:b/>
      <w:bCs/>
    </w:rPr>
  </w:style>
  <w:style w:type="paragraph" w:styleId="Revision">
    <w:name w:val="Revision"/>
    <w:hidden/>
    <w:uiPriority w:val="99"/>
    <w:semiHidden/>
    <w:rsid w:val="00CA06B9"/>
  </w:style>
  <w:style w:type="table" w:styleId="TableGrid">
    <w:name w:val="Table Grid"/>
    <w:basedOn w:val="TableNormal"/>
    <w:uiPriority w:val="39"/>
    <w:rsid w:val="002B5E83"/>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0206F5"/>
  </w:style>
  <w:style w:type="character" w:styleId="UnresolvedMention">
    <w:name w:val="Unresolved Mention"/>
    <w:basedOn w:val="DefaultParagraphFont"/>
    <w:uiPriority w:val="99"/>
    <w:semiHidden/>
    <w:unhideWhenUsed/>
    <w:rsid w:val="00B46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713318">
      <w:bodyDiv w:val="1"/>
      <w:marLeft w:val="0"/>
      <w:marRight w:val="0"/>
      <w:marTop w:val="0"/>
      <w:marBottom w:val="0"/>
      <w:divBdr>
        <w:top w:val="none" w:sz="0" w:space="0" w:color="auto"/>
        <w:left w:val="none" w:sz="0" w:space="0" w:color="auto"/>
        <w:bottom w:val="none" w:sz="0" w:space="0" w:color="auto"/>
        <w:right w:val="none" w:sz="0" w:space="0" w:color="auto"/>
      </w:divBdr>
    </w:div>
    <w:div w:id="713575499">
      <w:bodyDiv w:val="1"/>
      <w:marLeft w:val="0"/>
      <w:marRight w:val="0"/>
      <w:marTop w:val="0"/>
      <w:marBottom w:val="0"/>
      <w:divBdr>
        <w:top w:val="none" w:sz="0" w:space="0" w:color="auto"/>
        <w:left w:val="none" w:sz="0" w:space="0" w:color="auto"/>
        <w:bottom w:val="none" w:sz="0" w:space="0" w:color="auto"/>
        <w:right w:val="none" w:sz="0" w:space="0" w:color="auto"/>
      </w:divBdr>
    </w:div>
    <w:div w:id="740100647">
      <w:bodyDiv w:val="1"/>
      <w:marLeft w:val="0"/>
      <w:marRight w:val="0"/>
      <w:marTop w:val="0"/>
      <w:marBottom w:val="0"/>
      <w:divBdr>
        <w:top w:val="none" w:sz="0" w:space="0" w:color="auto"/>
        <w:left w:val="none" w:sz="0" w:space="0" w:color="auto"/>
        <w:bottom w:val="none" w:sz="0" w:space="0" w:color="auto"/>
        <w:right w:val="none" w:sz="0" w:space="0" w:color="auto"/>
      </w:divBdr>
    </w:div>
    <w:div w:id="1205678768">
      <w:bodyDiv w:val="1"/>
      <w:marLeft w:val="0"/>
      <w:marRight w:val="0"/>
      <w:marTop w:val="0"/>
      <w:marBottom w:val="0"/>
      <w:divBdr>
        <w:top w:val="none" w:sz="0" w:space="0" w:color="auto"/>
        <w:left w:val="none" w:sz="0" w:space="0" w:color="auto"/>
        <w:bottom w:val="none" w:sz="0" w:space="0" w:color="auto"/>
        <w:right w:val="none" w:sz="0" w:space="0" w:color="auto"/>
      </w:divBdr>
      <w:divsChild>
        <w:div w:id="1902977945">
          <w:marLeft w:val="0"/>
          <w:marRight w:val="0"/>
          <w:marTop w:val="0"/>
          <w:marBottom w:val="0"/>
          <w:divBdr>
            <w:top w:val="none" w:sz="0" w:space="0" w:color="auto"/>
            <w:left w:val="none" w:sz="0" w:space="0" w:color="auto"/>
            <w:bottom w:val="none" w:sz="0" w:space="0" w:color="auto"/>
            <w:right w:val="none" w:sz="0" w:space="0" w:color="auto"/>
          </w:divBdr>
        </w:div>
        <w:div w:id="1767847496">
          <w:marLeft w:val="360"/>
          <w:marRight w:val="0"/>
          <w:marTop w:val="0"/>
          <w:marBottom w:val="300"/>
          <w:divBdr>
            <w:top w:val="none" w:sz="0" w:space="0" w:color="auto"/>
            <w:left w:val="none" w:sz="0" w:space="0" w:color="auto"/>
            <w:bottom w:val="none" w:sz="0" w:space="0" w:color="auto"/>
            <w:right w:val="none" w:sz="0" w:space="0" w:color="auto"/>
          </w:divBdr>
        </w:div>
        <w:div w:id="1221406393">
          <w:marLeft w:val="0"/>
          <w:marRight w:val="0"/>
          <w:marTop w:val="0"/>
          <w:marBottom w:val="0"/>
          <w:divBdr>
            <w:top w:val="none" w:sz="0" w:space="0" w:color="auto"/>
            <w:left w:val="none" w:sz="0" w:space="0" w:color="auto"/>
            <w:bottom w:val="none" w:sz="0" w:space="0" w:color="auto"/>
            <w:right w:val="none" w:sz="0" w:space="0" w:color="auto"/>
          </w:divBdr>
        </w:div>
        <w:div w:id="126096834">
          <w:marLeft w:val="360"/>
          <w:marRight w:val="0"/>
          <w:marTop w:val="0"/>
          <w:marBottom w:val="300"/>
          <w:divBdr>
            <w:top w:val="none" w:sz="0" w:space="0" w:color="auto"/>
            <w:left w:val="none" w:sz="0" w:space="0" w:color="auto"/>
            <w:bottom w:val="none" w:sz="0" w:space="0" w:color="auto"/>
            <w:right w:val="none" w:sz="0" w:space="0" w:color="auto"/>
          </w:divBdr>
        </w:div>
      </w:divsChild>
    </w:div>
    <w:div w:id="1286736607">
      <w:bodyDiv w:val="1"/>
      <w:marLeft w:val="0"/>
      <w:marRight w:val="0"/>
      <w:marTop w:val="0"/>
      <w:marBottom w:val="0"/>
      <w:divBdr>
        <w:top w:val="none" w:sz="0" w:space="0" w:color="auto"/>
        <w:left w:val="none" w:sz="0" w:space="0" w:color="auto"/>
        <w:bottom w:val="none" w:sz="0" w:space="0" w:color="auto"/>
        <w:right w:val="none" w:sz="0" w:space="0" w:color="auto"/>
      </w:divBdr>
      <w:divsChild>
        <w:div w:id="1341199022">
          <w:marLeft w:val="0"/>
          <w:marRight w:val="0"/>
          <w:marTop w:val="0"/>
          <w:marBottom w:val="0"/>
          <w:divBdr>
            <w:top w:val="none" w:sz="0" w:space="0" w:color="auto"/>
            <w:left w:val="none" w:sz="0" w:space="0" w:color="auto"/>
            <w:bottom w:val="none" w:sz="0" w:space="0" w:color="auto"/>
            <w:right w:val="none" w:sz="0" w:space="0" w:color="auto"/>
          </w:divBdr>
        </w:div>
        <w:div w:id="1958484786">
          <w:marLeft w:val="360"/>
          <w:marRight w:val="0"/>
          <w:marTop w:val="0"/>
          <w:marBottom w:val="300"/>
          <w:divBdr>
            <w:top w:val="none" w:sz="0" w:space="0" w:color="auto"/>
            <w:left w:val="none" w:sz="0" w:space="0" w:color="auto"/>
            <w:bottom w:val="none" w:sz="0" w:space="0" w:color="auto"/>
            <w:right w:val="none" w:sz="0" w:space="0" w:color="auto"/>
          </w:divBdr>
        </w:div>
        <w:div w:id="1839887370">
          <w:marLeft w:val="0"/>
          <w:marRight w:val="0"/>
          <w:marTop w:val="0"/>
          <w:marBottom w:val="0"/>
          <w:divBdr>
            <w:top w:val="none" w:sz="0" w:space="0" w:color="auto"/>
            <w:left w:val="none" w:sz="0" w:space="0" w:color="auto"/>
            <w:bottom w:val="none" w:sz="0" w:space="0" w:color="auto"/>
            <w:right w:val="none" w:sz="0" w:space="0" w:color="auto"/>
          </w:divBdr>
        </w:div>
        <w:div w:id="1454791174">
          <w:marLeft w:val="360"/>
          <w:marRight w:val="0"/>
          <w:marTop w:val="0"/>
          <w:marBottom w:val="300"/>
          <w:divBdr>
            <w:top w:val="none" w:sz="0" w:space="0" w:color="auto"/>
            <w:left w:val="none" w:sz="0" w:space="0" w:color="auto"/>
            <w:bottom w:val="none" w:sz="0" w:space="0" w:color="auto"/>
            <w:right w:val="none" w:sz="0" w:space="0" w:color="auto"/>
          </w:divBdr>
        </w:div>
      </w:divsChild>
    </w:div>
    <w:div w:id="1385720025">
      <w:bodyDiv w:val="1"/>
      <w:marLeft w:val="0"/>
      <w:marRight w:val="0"/>
      <w:marTop w:val="0"/>
      <w:marBottom w:val="0"/>
      <w:divBdr>
        <w:top w:val="none" w:sz="0" w:space="0" w:color="auto"/>
        <w:left w:val="none" w:sz="0" w:space="0" w:color="auto"/>
        <w:bottom w:val="none" w:sz="0" w:space="0" w:color="auto"/>
        <w:right w:val="none" w:sz="0" w:space="0" w:color="auto"/>
      </w:divBdr>
    </w:div>
    <w:div w:id="1589923152">
      <w:bodyDiv w:val="1"/>
      <w:marLeft w:val="0"/>
      <w:marRight w:val="0"/>
      <w:marTop w:val="0"/>
      <w:marBottom w:val="0"/>
      <w:divBdr>
        <w:top w:val="none" w:sz="0" w:space="0" w:color="auto"/>
        <w:left w:val="none" w:sz="0" w:space="0" w:color="auto"/>
        <w:bottom w:val="none" w:sz="0" w:space="0" w:color="auto"/>
        <w:right w:val="none" w:sz="0" w:space="0" w:color="auto"/>
      </w:divBdr>
    </w:div>
    <w:div w:id="1668435474">
      <w:bodyDiv w:val="1"/>
      <w:marLeft w:val="0"/>
      <w:marRight w:val="0"/>
      <w:marTop w:val="0"/>
      <w:marBottom w:val="0"/>
      <w:divBdr>
        <w:top w:val="none" w:sz="0" w:space="0" w:color="auto"/>
        <w:left w:val="none" w:sz="0" w:space="0" w:color="auto"/>
        <w:bottom w:val="none" w:sz="0" w:space="0" w:color="auto"/>
        <w:right w:val="none" w:sz="0" w:space="0" w:color="auto"/>
      </w:divBdr>
      <w:divsChild>
        <w:div w:id="1612319411">
          <w:marLeft w:val="0"/>
          <w:marRight w:val="0"/>
          <w:marTop w:val="0"/>
          <w:marBottom w:val="0"/>
          <w:divBdr>
            <w:top w:val="none" w:sz="0" w:space="0" w:color="auto"/>
            <w:left w:val="none" w:sz="0" w:space="0" w:color="auto"/>
            <w:bottom w:val="none" w:sz="0" w:space="0" w:color="auto"/>
            <w:right w:val="none" w:sz="0" w:space="0" w:color="auto"/>
          </w:divBdr>
        </w:div>
        <w:div w:id="712465773">
          <w:marLeft w:val="360"/>
          <w:marRight w:val="0"/>
          <w:marTop w:val="0"/>
          <w:marBottom w:val="300"/>
          <w:divBdr>
            <w:top w:val="none" w:sz="0" w:space="0" w:color="auto"/>
            <w:left w:val="none" w:sz="0" w:space="0" w:color="auto"/>
            <w:bottom w:val="none" w:sz="0" w:space="0" w:color="auto"/>
            <w:right w:val="none" w:sz="0" w:space="0" w:color="auto"/>
          </w:divBdr>
        </w:div>
        <w:div w:id="1024139026">
          <w:marLeft w:val="0"/>
          <w:marRight w:val="0"/>
          <w:marTop w:val="0"/>
          <w:marBottom w:val="0"/>
          <w:divBdr>
            <w:top w:val="none" w:sz="0" w:space="0" w:color="auto"/>
            <w:left w:val="none" w:sz="0" w:space="0" w:color="auto"/>
            <w:bottom w:val="none" w:sz="0" w:space="0" w:color="auto"/>
            <w:right w:val="none" w:sz="0" w:space="0" w:color="auto"/>
          </w:divBdr>
        </w:div>
        <w:div w:id="637759932">
          <w:marLeft w:val="360"/>
          <w:marRight w:val="0"/>
          <w:marTop w:val="0"/>
          <w:marBottom w:val="300"/>
          <w:divBdr>
            <w:top w:val="none" w:sz="0" w:space="0" w:color="auto"/>
            <w:left w:val="none" w:sz="0" w:space="0" w:color="auto"/>
            <w:bottom w:val="none" w:sz="0" w:space="0" w:color="auto"/>
            <w:right w:val="none" w:sz="0" w:space="0" w:color="auto"/>
          </w:divBdr>
        </w:div>
      </w:divsChild>
    </w:div>
    <w:div w:id="175200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12099</Words>
  <Characters>64502</Characters>
  <Application>Microsoft Office Word</Application>
  <DocSecurity>0</DocSecurity>
  <Lines>537</Lines>
  <Paragraphs>152</Paragraphs>
  <ScaleCrop>false</ScaleCrop>
  <HeadingPairs>
    <vt:vector size="2" baseType="variant">
      <vt:variant>
        <vt:lpstr>Title</vt:lpstr>
      </vt:variant>
      <vt:variant>
        <vt:i4>1</vt:i4>
      </vt:variant>
    </vt:vector>
  </HeadingPairs>
  <TitlesOfParts>
    <vt:vector size="1" baseType="lpstr">
      <vt:lpstr>ORDINANCE NO</vt:lpstr>
    </vt:vector>
  </TitlesOfParts>
  <Company>City of Newberry</Company>
  <LinksUpToDate>false</LinksUpToDate>
  <CharactersWithSpaces>76449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NO</dc:title>
  <dc:subject/>
  <dc:creator>Wendy Kinser</dc:creator>
  <cp:keywords/>
  <cp:lastModifiedBy>Jeannene Mironack</cp:lastModifiedBy>
  <cp:revision>3</cp:revision>
  <cp:lastPrinted>2024-04-15T21:17:00Z</cp:lastPrinted>
  <dcterms:created xsi:type="dcterms:W3CDTF">2024-04-15T21:21:00Z</dcterms:created>
  <dcterms:modified xsi:type="dcterms:W3CDTF">2024-04-16T13:36:00Z</dcterms:modified>
</cp:coreProperties>
</file>