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0B67" w14:textId="77777777" w:rsidR="003177D0" w:rsidRDefault="008C54C6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CA155E4" w14:textId="77777777" w:rsidR="003177D0" w:rsidRDefault="003177D0">
      <w:pPr>
        <w:pStyle w:val="BodyText"/>
        <w:rPr>
          <w:b/>
          <w:sz w:val="22"/>
        </w:rPr>
      </w:pPr>
    </w:p>
    <w:p w14:paraId="4C1F2ABD" w14:textId="77777777" w:rsidR="003177D0" w:rsidRDefault="008C54C6">
      <w:pPr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62B7838D" w14:textId="77777777" w:rsidR="003177D0" w:rsidRDefault="008C54C6">
      <w:pPr>
        <w:pStyle w:val="BodyText"/>
        <w:spacing w:before="2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FC59CB" wp14:editId="645AF1C8">
                <wp:simplePos x="0" y="0"/>
                <wp:positionH relativeFrom="page">
                  <wp:posOffset>838200</wp:posOffset>
                </wp:positionH>
                <wp:positionV relativeFrom="paragraph">
                  <wp:posOffset>179070</wp:posOffset>
                </wp:positionV>
                <wp:extent cx="6088380" cy="240030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400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319C19" w14:textId="77777777" w:rsidR="003177D0" w:rsidRDefault="008C54C6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4EBB6E53" w14:textId="36780B37" w:rsidR="003177D0" w:rsidRDefault="008C54C6" w:rsidP="006E4EBE">
                            <w:pPr>
                              <w:pStyle w:val="BodyText"/>
                              <w:spacing w:before="53"/>
                              <w:ind w:left="62"/>
                            </w:pPr>
                            <w:r>
                              <w:t>ORDINANCE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2024-1</w:t>
                            </w:r>
                            <w:r>
                              <w:rPr>
                                <w:spacing w:val="-5"/>
                              </w:rPr>
                              <w:t>4</w:t>
                            </w:r>
                            <w:r w:rsidR="006E4EBE">
                              <w:rPr>
                                <w:spacing w:val="-5"/>
                              </w:rPr>
                              <w:t xml:space="preserve">, </w:t>
                            </w:r>
                            <w:r>
                              <w:t>LDR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23-</w:t>
                            </w:r>
                            <w:r>
                              <w:rPr>
                                <w:spacing w:val="-5"/>
                              </w:rPr>
                              <w:t>06</w:t>
                            </w:r>
                          </w:p>
                          <w:p w14:paraId="0784525B" w14:textId="77777777" w:rsidR="003177D0" w:rsidRDefault="003177D0">
                            <w:pPr>
                              <w:pStyle w:val="BodyText"/>
                              <w:spacing w:before="3"/>
                            </w:pPr>
                          </w:p>
                          <w:p w14:paraId="7A5810B9" w14:textId="172DAE6F" w:rsidR="003177D0" w:rsidRDefault="008C54C6">
                            <w:pPr>
                              <w:pStyle w:val="BodyText"/>
                              <w:ind w:left="62"/>
                            </w:pPr>
                            <w:r>
                              <w:t>AN ORDINANCE OF THE CITY OF NEWBERRY, FLORIDA, RELATING TO THE REZONING OF APPROXIMATELY 1,293 CONTIGUOUS ACRES, MORE OR LESS, PURSUANT TO A PETITION BY THE PROPERTY OWNER OF SAID ACREAGE; AMENDING THE OFFICIAL ZONING ATLAS OF THE CITY OF NEWBERRY LAND DEVELOPMENT REGULATIONS; PROVIDING FOR REZONING FROM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AGRICULTURAL (A) ZONING DISTRICT TO THE PLANNED DEVELOPMENT (PD) ZONING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LANDS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CORPORATE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LIMITS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 CITY OF NEWBERRY, FLORIDA MORE PARTICULARLY DESCRIBED IN EXHIBIT A; PROVIDING SEVERABILITY; REPEALING ALL ORDINANCES IN CONFLICT; AND PROVIDING AN EFFECTIVE DATE</w:t>
                            </w:r>
                            <w:r w:rsidR="006E4EBE"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59C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4.1pt;width:479.4pt;height:189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63319C19" w14:textId="77777777" w:rsidR="003177D0" w:rsidRDefault="008C54C6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4EBB6E53" w14:textId="36780B37" w:rsidR="003177D0" w:rsidRDefault="008C54C6" w:rsidP="006E4EBE">
                      <w:pPr>
                        <w:pStyle w:val="BodyText"/>
                        <w:spacing w:before="53"/>
                        <w:ind w:left="62"/>
                      </w:pPr>
                      <w:r>
                        <w:t>ORDINANCE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2024-1</w:t>
                      </w:r>
                      <w:r>
                        <w:rPr>
                          <w:spacing w:val="-5"/>
                        </w:rPr>
                        <w:t>4</w:t>
                      </w:r>
                      <w:r w:rsidR="006E4EBE">
                        <w:rPr>
                          <w:spacing w:val="-5"/>
                        </w:rPr>
                        <w:t xml:space="preserve">, </w:t>
                      </w:r>
                      <w:r>
                        <w:t>LDR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23-</w:t>
                      </w:r>
                      <w:r>
                        <w:rPr>
                          <w:spacing w:val="-5"/>
                        </w:rPr>
                        <w:t>06</w:t>
                      </w:r>
                    </w:p>
                    <w:p w14:paraId="0784525B" w14:textId="77777777" w:rsidR="003177D0" w:rsidRDefault="003177D0">
                      <w:pPr>
                        <w:pStyle w:val="BodyText"/>
                        <w:spacing w:before="3"/>
                      </w:pPr>
                    </w:p>
                    <w:p w14:paraId="7A5810B9" w14:textId="172DAE6F" w:rsidR="003177D0" w:rsidRDefault="008C54C6">
                      <w:pPr>
                        <w:pStyle w:val="BodyText"/>
                        <w:ind w:left="62"/>
                      </w:pPr>
                      <w:r>
                        <w:t>AN ORDINANCE OF THE CITY OF NEWBERRY, FLORIDA, RELATING TO THE REZONING OF APPROXIMATELY 1,293 CONTIGUOUS ACRES, MORE OR LESS, PURSUANT TO A PETITION BY THE PROPERTY OWNER OF SAID ACREAGE; AMENDING THE OFFICIAL ZONING ATLAS OF THE CITY OF NEWBERRY LAND DEVELOPMENT REGULATIONS; PROVIDING FOR REZONING FROM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AGRICULTURAL (A) ZONING DISTRICT TO THE PLANNED DEVELOPMENT (PD) ZONING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DISTRICT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LANDS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CORPORATE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LIMITS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 CITY OF NEWBERRY, FLORIDA MORE PARTICULARLY DESCRIBED IN EXHIBIT A; PROVIDING SEVERABILITY; REPEALING ALL ORDINANCES IN CONFLICT; AND PROVIDING AN EFFECTIVE DATE</w:t>
                      </w:r>
                      <w:r w:rsidR="006E4EBE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EB1D5" w14:textId="77777777" w:rsidR="003177D0" w:rsidRDefault="003177D0">
      <w:pPr>
        <w:pStyle w:val="BodyText"/>
        <w:spacing w:before="6"/>
        <w:rPr>
          <w:i/>
        </w:rPr>
      </w:pPr>
    </w:p>
    <w:p w14:paraId="41390AA7" w14:textId="77777777" w:rsidR="003177D0" w:rsidRDefault="008C54C6">
      <w:pPr>
        <w:pStyle w:val="BodyText"/>
        <w:ind w:left="219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business impact estimate is required by state </w:t>
      </w:r>
      <w:proofErr w:type="spellStart"/>
      <w:r>
        <w:t>law</w:t>
      </w:r>
      <w:r>
        <w:rPr>
          <w:vertAlign w:val="superscript"/>
        </w:rPr>
        <w:t>1</w:t>
      </w:r>
      <w:proofErr w:type="spellEnd"/>
      <w:r>
        <w:t xml:space="preserve"> for the proposed ordinance. This Business Impact Estimate may be revised following its initial posting.</w:t>
      </w:r>
    </w:p>
    <w:p w14:paraId="445A6D14" w14:textId="77777777" w:rsidR="003177D0" w:rsidRDefault="008C54C6">
      <w:pPr>
        <w:pStyle w:val="ListParagraph"/>
        <w:numPr>
          <w:ilvl w:val="0"/>
          <w:numId w:val="3"/>
        </w:numPr>
        <w:tabs>
          <w:tab w:val="left" w:pos="940"/>
        </w:tabs>
        <w:spacing w:before="237"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5C176BE2" w14:textId="77777777" w:rsidR="003177D0" w:rsidRDefault="008C54C6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0992B238" w14:textId="77777777" w:rsidR="003177D0" w:rsidRDefault="008C54C6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of budgets or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5BCBBE26" w14:textId="77777777" w:rsidR="003177D0" w:rsidRDefault="008C54C6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324A8D4D" w14:textId="77777777" w:rsidR="003177D0" w:rsidRDefault="008C54C6">
      <w:pPr>
        <w:pStyle w:val="ListParagraph"/>
        <w:numPr>
          <w:ilvl w:val="0"/>
          <w:numId w:val="3"/>
        </w:numPr>
        <w:tabs>
          <w:tab w:val="left" w:pos="940"/>
        </w:tabs>
        <w:spacing w:line="311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711B801D" w14:textId="77777777" w:rsidR="003177D0" w:rsidRDefault="008C54C6">
      <w:pPr>
        <w:pStyle w:val="ListParagraph"/>
        <w:numPr>
          <w:ilvl w:val="0"/>
          <w:numId w:val="3"/>
        </w:numPr>
        <w:tabs>
          <w:tab w:val="left" w:pos="940"/>
        </w:tabs>
        <w:spacing w:line="311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70EBAC4" w14:textId="77777777" w:rsidR="003177D0" w:rsidRDefault="008C54C6">
      <w:pPr>
        <w:pStyle w:val="BodyText"/>
        <w:spacing w:line="311" w:lineRule="exact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56407F9F" w14:textId="77777777" w:rsidR="006E4EBE" w:rsidRDefault="006E4EBE" w:rsidP="006E4EBE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036CDF5E" w14:textId="77777777" w:rsidR="006E4EBE" w:rsidRDefault="006E4EBE" w:rsidP="006E4EBE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02C1BC25" w14:textId="77777777" w:rsidR="006E4EBE" w:rsidRDefault="006E4EBE" w:rsidP="006E4EBE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D5B843F" w14:textId="77777777" w:rsidR="006E4EBE" w:rsidRDefault="006E4EBE" w:rsidP="006E4EBE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1AED568F" w14:textId="77777777" w:rsidR="006E4EBE" w:rsidRDefault="006E4EBE" w:rsidP="006E4EBE">
      <w:pPr>
        <w:pStyle w:val="BodyText"/>
      </w:pPr>
    </w:p>
    <w:p w14:paraId="1E1E651F" w14:textId="77777777" w:rsidR="006E4EBE" w:rsidRDefault="006E4EBE" w:rsidP="006E4EBE">
      <w:pPr>
        <w:pStyle w:val="BodyText"/>
        <w:ind w:left="219"/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2E80ADE0" w14:textId="77777777" w:rsidR="003177D0" w:rsidRDefault="008C54C6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BDEC2" wp14:editId="0B3D6E34">
                <wp:simplePos x="0" y="0"/>
                <wp:positionH relativeFrom="page">
                  <wp:posOffset>914400</wp:posOffset>
                </wp:positionH>
                <wp:positionV relativeFrom="paragraph">
                  <wp:posOffset>182169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81611" id="Graphic 2" o:spid="_x0000_s1026" style="position:absolute;margin-left:1in;margin-top:14.3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DlQOCq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9B3814" w14:textId="77777777" w:rsidR="003177D0" w:rsidRDefault="008C54C6">
      <w:pPr>
        <w:spacing w:before="109"/>
        <w:ind w:left="2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Statutes.</w:t>
      </w:r>
    </w:p>
    <w:sectPr w:rsidR="003177D0" w:rsidSect="006E4EBE">
      <w:type w:val="continuous"/>
      <w:pgSz w:w="12240" w:h="15840"/>
      <w:pgMar w:top="72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07F9" w14:textId="77777777" w:rsidR="006E4EBE" w:rsidRDefault="006E4EBE" w:rsidP="006E4EBE">
      <w:r>
        <w:separator/>
      </w:r>
    </w:p>
  </w:endnote>
  <w:endnote w:type="continuationSeparator" w:id="0">
    <w:p w14:paraId="4E28859B" w14:textId="77777777" w:rsidR="006E4EBE" w:rsidRDefault="006E4EBE" w:rsidP="006E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FB45" w14:textId="77777777" w:rsidR="006E4EBE" w:rsidRDefault="006E4EBE" w:rsidP="006E4EBE">
      <w:r>
        <w:separator/>
      </w:r>
    </w:p>
  </w:footnote>
  <w:footnote w:type="continuationSeparator" w:id="0">
    <w:p w14:paraId="7E5AD079" w14:textId="77777777" w:rsidR="006E4EBE" w:rsidRDefault="006E4EBE" w:rsidP="006E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A4D"/>
    <w:multiLevelType w:val="hybridMultilevel"/>
    <w:tmpl w:val="C1BCCF32"/>
    <w:lvl w:ilvl="0" w:tplc="47C00A12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E611C6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3EAA7BBA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ECC4A85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2BB2BDE0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C8DEA482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8162026E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7BA84750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3DD44A8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1F83FBF"/>
    <w:multiLevelType w:val="hybridMultilevel"/>
    <w:tmpl w:val="904C439C"/>
    <w:lvl w:ilvl="0" w:tplc="3554321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E549D90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6040B30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95D0E62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25966AAC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D2D00C2A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0C462792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5C9EA628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C6EE21E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0CD51FF"/>
    <w:multiLevelType w:val="hybridMultilevel"/>
    <w:tmpl w:val="DCBA5650"/>
    <w:lvl w:ilvl="0" w:tplc="CC240482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CA729E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A0D82AB6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17600F4A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E7EB454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ABB48680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3C8AF40A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EEEA076A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1D2E028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num w:numId="1" w16cid:durableId="989212856">
    <w:abstractNumId w:val="2"/>
  </w:num>
  <w:num w:numId="2" w16cid:durableId="1206213161">
    <w:abstractNumId w:val="1"/>
  </w:num>
  <w:num w:numId="3" w16cid:durableId="114369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7D0"/>
    <w:rsid w:val="003177D0"/>
    <w:rsid w:val="006E4EBE"/>
    <w:rsid w:val="008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0323"/>
  <w15:docId w15:val="{D92368DA-DFAF-4BDE-B4E4-F4F3F13C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right="1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E4EBE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4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4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3</cp:revision>
  <dcterms:created xsi:type="dcterms:W3CDTF">2024-04-15T20:48:00Z</dcterms:created>
  <dcterms:modified xsi:type="dcterms:W3CDTF">2024-04-16T13:38:00Z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2024-04-15T00:00:00Z</vt:filetime>
  </property>
  <property fmtid="{D5CDD505-2E9C-101B-9397-08002B2CF9AE}" pid="5" name="Producer">
    <vt:lpwstr>Acrobat Distiller 23.0 (Windows)</vt:lpwstr>
  </property>
</Properties>
</file>