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BDE2C" w14:textId="45014877" w:rsidR="00316CE6" w:rsidRPr="009124D0" w:rsidRDefault="00316CE6" w:rsidP="00BB4E95">
      <w:pPr>
        <w:ind w:left="1440" w:right="1440"/>
        <w:jc w:val="center"/>
        <w:rPr>
          <w:b/>
          <w:bCs/>
          <w:sz w:val="24"/>
          <w:szCs w:val="24"/>
        </w:rPr>
      </w:pPr>
      <w:bookmarkStart w:id="0" w:name="_Hlk178094949"/>
      <w:r w:rsidRPr="009124D0">
        <w:rPr>
          <w:b/>
          <w:bCs/>
          <w:sz w:val="24"/>
          <w:szCs w:val="24"/>
        </w:rPr>
        <w:t xml:space="preserve">ORDINANCE NO. </w:t>
      </w:r>
      <w:r w:rsidR="0061556F" w:rsidRPr="009124D0">
        <w:rPr>
          <w:b/>
          <w:bCs/>
          <w:sz w:val="24"/>
          <w:szCs w:val="24"/>
        </w:rPr>
        <w:t>20</w:t>
      </w:r>
      <w:r w:rsidR="00E30B19" w:rsidRPr="009124D0">
        <w:rPr>
          <w:b/>
          <w:bCs/>
          <w:sz w:val="24"/>
          <w:szCs w:val="24"/>
        </w:rPr>
        <w:t>2</w:t>
      </w:r>
      <w:r w:rsidR="00214F05">
        <w:rPr>
          <w:b/>
          <w:bCs/>
          <w:sz w:val="24"/>
          <w:szCs w:val="24"/>
        </w:rPr>
        <w:t>4</w:t>
      </w:r>
      <w:r w:rsidR="00E30B19" w:rsidRPr="009124D0">
        <w:rPr>
          <w:b/>
          <w:bCs/>
          <w:sz w:val="24"/>
          <w:szCs w:val="24"/>
        </w:rPr>
        <w:t>-</w:t>
      </w:r>
      <w:r w:rsidR="00C16DC3">
        <w:rPr>
          <w:b/>
          <w:bCs/>
          <w:sz w:val="24"/>
          <w:szCs w:val="24"/>
        </w:rPr>
        <w:t>3</w:t>
      </w:r>
      <w:r w:rsidR="00176267">
        <w:rPr>
          <w:b/>
          <w:bCs/>
          <w:sz w:val="24"/>
          <w:szCs w:val="24"/>
        </w:rPr>
        <w:t>5</w:t>
      </w:r>
    </w:p>
    <w:p w14:paraId="2CB7ACC5" w14:textId="76A1E876" w:rsidR="00100545" w:rsidRPr="009124D0" w:rsidRDefault="00100545" w:rsidP="00BB4E95">
      <w:pPr>
        <w:ind w:left="1440" w:right="1440"/>
        <w:jc w:val="center"/>
        <w:rPr>
          <w:sz w:val="24"/>
          <w:szCs w:val="24"/>
        </w:rPr>
      </w:pPr>
      <w:r w:rsidRPr="009124D0">
        <w:rPr>
          <w:sz w:val="24"/>
          <w:szCs w:val="24"/>
        </w:rPr>
        <w:t xml:space="preserve">CPA </w:t>
      </w:r>
      <w:r w:rsidR="00E30B19" w:rsidRPr="009124D0">
        <w:rPr>
          <w:sz w:val="24"/>
          <w:szCs w:val="24"/>
        </w:rPr>
        <w:t>2</w:t>
      </w:r>
      <w:r w:rsidR="00176267">
        <w:rPr>
          <w:sz w:val="24"/>
          <w:szCs w:val="24"/>
        </w:rPr>
        <w:t>3</w:t>
      </w:r>
      <w:r w:rsidR="00E30B19" w:rsidRPr="009124D0">
        <w:rPr>
          <w:sz w:val="24"/>
          <w:szCs w:val="24"/>
        </w:rPr>
        <w:t>-</w:t>
      </w:r>
      <w:r w:rsidR="005D639E">
        <w:rPr>
          <w:sz w:val="24"/>
          <w:szCs w:val="24"/>
        </w:rPr>
        <w:t>0</w:t>
      </w:r>
      <w:r w:rsidR="00176267">
        <w:rPr>
          <w:sz w:val="24"/>
          <w:szCs w:val="24"/>
        </w:rPr>
        <w:t>9</w:t>
      </w:r>
    </w:p>
    <w:p w14:paraId="3B352FDA" w14:textId="77777777" w:rsidR="00316CE6" w:rsidRPr="009124D0" w:rsidRDefault="00316CE6" w:rsidP="00BB4E95">
      <w:pPr>
        <w:ind w:left="1440" w:right="1440"/>
        <w:rPr>
          <w:b/>
          <w:bCs/>
          <w:sz w:val="24"/>
          <w:szCs w:val="24"/>
        </w:rPr>
      </w:pPr>
    </w:p>
    <w:p w14:paraId="02798E73" w14:textId="05D0D56C" w:rsidR="00316CE6" w:rsidRPr="009124D0" w:rsidRDefault="00C16DC3" w:rsidP="00BB4E95">
      <w:pPr>
        <w:ind w:left="1440" w:right="1440"/>
        <w:jc w:val="both"/>
        <w:rPr>
          <w:b/>
          <w:bCs/>
          <w:sz w:val="24"/>
          <w:szCs w:val="24"/>
        </w:rPr>
      </w:pPr>
      <w:bookmarkStart w:id="1" w:name="_Hlk179292984"/>
      <w:r>
        <w:rPr>
          <w:b/>
          <w:bCs/>
          <w:sz w:val="24"/>
          <w:szCs w:val="24"/>
        </w:rPr>
        <w:t xml:space="preserve">RE-ADOPTION OF </w:t>
      </w:r>
      <w:r w:rsidR="00E30B19" w:rsidRPr="009124D0">
        <w:rPr>
          <w:b/>
          <w:bCs/>
          <w:sz w:val="24"/>
          <w:szCs w:val="24"/>
        </w:rPr>
        <w:t xml:space="preserve">AN ORDINANCE OF THE CITY OF NEWBERRY, FLORIDA, </w:t>
      </w:r>
      <w:r w:rsidR="00176267">
        <w:rPr>
          <w:b/>
          <w:bCs/>
          <w:sz w:val="24"/>
          <w:szCs w:val="24"/>
        </w:rPr>
        <w:t xml:space="preserve">AMENDING </w:t>
      </w:r>
      <w:r w:rsidR="00176267" w:rsidRPr="0073371E">
        <w:rPr>
          <w:b/>
          <w:bCs/>
          <w:sz w:val="24"/>
          <w:szCs w:val="24"/>
        </w:rPr>
        <w:t xml:space="preserve">ORDINANCE NO. 4-91, </w:t>
      </w:r>
      <w:r w:rsidR="00176267">
        <w:rPr>
          <w:b/>
          <w:bCs/>
          <w:sz w:val="24"/>
          <w:szCs w:val="24"/>
        </w:rPr>
        <w:t>RELATING TO</w:t>
      </w:r>
      <w:r w:rsidR="00214F05">
        <w:rPr>
          <w:b/>
          <w:bCs/>
          <w:sz w:val="24"/>
          <w:szCs w:val="24"/>
        </w:rPr>
        <w:t xml:space="preserve"> A</w:t>
      </w:r>
      <w:r w:rsidR="00176267">
        <w:rPr>
          <w:b/>
          <w:bCs/>
          <w:sz w:val="24"/>
          <w:szCs w:val="24"/>
        </w:rPr>
        <w:t>N AMENDMENT TO THE FUTURE LAND USE PLAN MAP EXPANDING THE BOUNDARY OF THE URBAN SERVICE AREA, FUTURE LAND USE ELEMENT, AND RELATED SUB ELEMENTS,</w:t>
      </w:r>
      <w:r w:rsidR="00214F05">
        <w:rPr>
          <w:b/>
          <w:bCs/>
          <w:sz w:val="24"/>
          <w:szCs w:val="24"/>
        </w:rPr>
        <w:t xml:space="preserve"> </w:t>
      </w:r>
      <w:r w:rsidR="00214F05" w:rsidRPr="0073371E">
        <w:rPr>
          <w:b/>
          <w:bCs/>
          <w:sz w:val="24"/>
          <w:szCs w:val="24"/>
        </w:rPr>
        <w:t xml:space="preserve">IN ACCORDANCE </w:t>
      </w:r>
      <w:r w:rsidR="00E30B19" w:rsidRPr="0073371E">
        <w:rPr>
          <w:b/>
          <w:bCs/>
          <w:sz w:val="24"/>
          <w:szCs w:val="24"/>
        </w:rPr>
        <w:t xml:space="preserve">WITH SECTIONS 163.3161 THROUGH 163.3215, FLORIDA STATUTES; PROVIDING FOR </w:t>
      </w:r>
      <w:r w:rsidR="0073371E" w:rsidRPr="0073371E">
        <w:rPr>
          <w:b/>
          <w:bCs/>
          <w:sz w:val="24"/>
          <w:szCs w:val="24"/>
        </w:rPr>
        <w:t xml:space="preserve">AMENDMENT TO THE LAND USE PLAN; </w:t>
      </w:r>
      <w:r w:rsidR="00E30B19" w:rsidRPr="0073371E">
        <w:rPr>
          <w:b/>
          <w:bCs/>
          <w:sz w:val="24"/>
          <w:szCs w:val="24"/>
        </w:rPr>
        <w:t>PROVIDING SEVERABILITY; REPEALING ALL ORDINANCES IN CONFLICT; AND PROVIDING AN EFFECTIVE DATE.</w:t>
      </w:r>
    </w:p>
    <w:bookmarkEnd w:id="0"/>
    <w:bookmarkEnd w:id="1"/>
    <w:p w14:paraId="0C5A7380" w14:textId="77777777" w:rsidR="00316CE6" w:rsidRPr="009124D0" w:rsidRDefault="00316CE6" w:rsidP="00316CE6">
      <w:pPr>
        <w:rPr>
          <w:sz w:val="24"/>
          <w:szCs w:val="24"/>
        </w:rPr>
      </w:pPr>
    </w:p>
    <w:p w14:paraId="050D9EF1" w14:textId="77777777" w:rsidR="00316CE6" w:rsidRPr="009124D0" w:rsidRDefault="00316CE6" w:rsidP="00316CE6">
      <w:pPr>
        <w:rPr>
          <w:sz w:val="24"/>
          <w:szCs w:val="24"/>
        </w:rPr>
      </w:pPr>
      <w:r w:rsidRPr="009124D0">
        <w:rPr>
          <w:sz w:val="24"/>
          <w:szCs w:val="24"/>
        </w:rPr>
        <w:tab/>
      </w:r>
      <w:r w:rsidRPr="009124D0">
        <w:rPr>
          <w:b/>
          <w:bCs/>
          <w:sz w:val="24"/>
          <w:szCs w:val="24"/>
        </w:rPr>
        <w:t>WHEREAS,</w:t>
      </w:r>
      <w:r w:rsidRPr="009124D0">
        <w:rPr>
          <w:sz w:val="24"/>
          <w:szCs w:val="24"/>
        </w:rPr>
        <w:t xml:space="preserve"> Section 166.021, Florida Statutes, empowers the City Commission of the City of Newberry, Florida, hereinafter referred to as the City Commission, to prepare, adopt and implement a Comprehensive </w:t>
      </w:r>
      <w:proofErr w:type="gramStart"/>
      <w:r w:rsidRPr="009124D0">
        <w:rPr>
          <w:sz w:val="24"/>
          <w:szCs w:val="24"/>
        </w:rPr>
        <w:t>Plan;</w:t>
      </w:r>
      <w:proofErr w:type="gramEnd"/>
      <w:r w:rsidRPr="009124D0">
        <w:rPr>
          <w:sz w:val="24"/>
          <w:szCs w:val="24"/>
        </w:rPr>
        <w:t xml:space="preserve"> </w:t>
      </w:r>
    </w:p>
    <w:p w14:paraId="769738D0" w14:textId="77777777" w:rsidR="00316CE6" w:rsidRPr="009124D0" w:rsidRDefault="00316CE6" w:rsidP="00316CE6">
      <w:pPr>
        <w:rPr>
          <w:sz w:val="24"/>
          <w:szCs w:val="24"/>
        </w:rPr>
      </w:pPr>
    </w:p>
    <w:p w14:paraId="226B7A21" w14:textId="77777777" w:rsidR="00316CE6" w:rsidRPr="009124D0" w:rsidRDefault="00316CE6" w:rsidP="00316CE6">
      <w:pPr>
        <w:ind w:left="720"/>
        <w:rPr>
          <w:sz w:val="24"/>
          <w:szCs w:val="24"/>
        </w:rPr>
      </w:pPr>
      <w:proofErr w:type="gramStart"/>
      <w:r w:rsidRPr="009124D0">
        <w:rPr>
          <w:b/>
          <w:bCs/>
          <w:sz w:val="24"/>
          <w:szCs w:val="24"/>
        </w:rPr>
        <w:t>WHEREAS,</w:t>
      </w:r>
      <w:proofErr w:type="gramEnd"/>
      <w:r w:rsidRPr="009124D0">
        <w:rPr>
          <w:b/>
          <w:bCs/>
          <w:sz w:val="24"/>
          <w:szCs w:val="24"/>
        </w:rPr>
        <w:t xml:space="preserve"> </w:t>
      </w:r>
      <w:r w:rsidRPr="009124D0">
        <w:rPr>
          <w:sz w:val="24"/>
          <w:szCs w:val="24"/>
        </w:rPr>
        <w:t>Sections 163.3161 through 163.3215, Florida Statutes, the Local</w:t>
      </w:r>
    </w:p>
    <w:p w14:paraId="10390C99" w14:textId="77777777" w:rsidR="00316CE6" w:rsidRPr="009124D0" w:rsidRDefault="00316CE6" w:rsidP="00316CE6">
      <w:pPr>
        <w:rPr>
          <w:sz w:val="24"/>
          <w:szCs w:val="24"/>
        </w:rPr>
      </w:pPr>
      <w:r w:rsidRPr="009124D0">
        <w:rPr>
          <w:sz w:val="24"/>
          <w:szCs w:val="24"/>
        </w:rPr>
        <w:t xml:space="preserve">Government Comprehensive Planning and Land Development Regulation Act, empowers and requires the City Commission to prepare, adopt and implement a Comprehensive </w:t>
      </w:r>
      <w:proofErr w:type="gramStart"/>
      <w:r w:rsidRPr="009124D0">
        <w:rPr>
          <w:sz w:val="24"/>
          <w:szCs w:val="24"/>
        </w:rPr>
        <w:t>Plan;</w:t>
      </w:r>
      <w:proofErr w:type="gramEnd"/>
      <w:r w:rsidRPr="009124D0">
        <w:rPr>
          <w:sz w:val="24"/>
          <w:szCs w:val="24"/>
        </w:rPr>
        <w:t xml:space="preserve"> </w:t>
      </w:r>
    </w:p>
    <w:p w14:paraId="77A4FD6E" w14:textId="77777777" w:rsidR="00316CE6" w:rsidRPr="009124D0" w:rsidRDefault="00316CE6" w:rsidP="00316CE6">
      <w:pPr>
        <w:rPr>
          <w:sz w:val="24"/>
          <w:szCs w:val="24"/>
        </w:rPr>
      </w:pPr>
    </w:p>
    <w:p w14:paraId="0F9B597A" w14:textId="4C0B9191" w:rsidR="00316CE6" w:rsidRPr="009124D0" w:rsidRDefault="00316CE6" w:rsidP="00316CE6">
      <w:pPr>
        <w:rPr>
          <w:sz w:val="24"/>
          <w:szCs w:val="24"/>
        </w:rPr>
      </w:pPr>
      <w:r w:rsidRPr="009124D0">
        <w:rPr>
          <w:sz w:val="24"/>
          <w:szCs w:val="24"/>
        </w:rPr>
        <w:tab/>
      </w:r>
      <w:r w:rsidRPr="009124D0">
        <w:rPr>
          <w:b/>
          <w:bCs/>
          <w:sz w:val="24"/>
          <w:szCs w:val="24"/>
        </w:rPr>
        <w:t>WHEREAS,</w:t>
      </w:r>
      <w:r w:rsidRPr="009124D0">
        <w:rPr>
          <w:sz w:val="24"/>
          <w:szCs w:val="24"/>
        </w:rPr>
        <w:t xml:space="preserve"> an application, </w:t>
      </w:r>
      <w:bookmarkStart w:id="2" w:name="A1"/>
      <w:r w:rsidRPr="009124D0">
        <w:rPr>
          <w:b/>
          <w:bCs/>
          <w:sz w:val="24"/>
          <w:szCs w:val="24"/>
        </w:rPr>
        <w:t xml:space="preserve">CPA </w:t>
      </w:r>
      <w:bookmarkEnd w:id="2"/>
      <w:r w:rsidR="002F348B" w:rsidRPr="009124D0">
        <w:rPr>
          <w:b/>
          <w:bCs/>
          <w:sz w:val="24"/>
          <w:szCs w:val="24"/>
        </w:rPr>
        <w:t>2</w:t>
      </w:r>
      <w:r w:rsidR="00176267">
        <w:rPr>
          <w:b/>
          <w:bCs/>
          <w:sz w:val="24"/>
          <w:szCs w:val="24"/>
        </w:rPr>
        <w:t>3</w:t>
      </w:r>
      <w:r w:rsidR="002F348B" w:rsidRPr="009124D0">
        <w:rPr>
          <w:b/>
          <w:bCs/>
          <w:sz w:val="24"/>
          <w:szCs w:val="24"/>
        </w:rPr>
        <w:t>-</w:t>
      </w:r>
      <w:r w:rsidR="005D639E">
        <w:rPr>
          <w:b/>
          <w:bCs/>
          <w:sz w:val="24"/>
          <w:szCs w:val="24"/>
        </w:rPr>
        <w:t>0</w:t>
      </w:r>
      <w:r w:rsidR="00176267">
        <w:rPr>
          <w:b/>
          <w:bCs/>
          <w:sz w:val="24"/>
          <w:szCs w:val="24"/>
        </w:rPr>
        <w:t>9</w:t>
      </w:r>
      <w:r w:rsidRPr="009124D0">
        <w:rPr>
          <w:sz w:val="24"/>
          <w:szCs w:val="24"/>
        </w:rPr>
        <w:t>, for an amendment</w:t>
      </w:r>
      <w:r w:rsidR="000E3492">
        <w:rPr>
          <w:sz w:val="24"/>
          <w:szCs w:val="24"/>
        </w:rPr>
        <w:t xml:space="preserve"> for lands</w:t>
      </w:r>
      <w:r w:rsidRPr="009124D0">
        <w:rPr>
          <w:sz w:val="24"/>
          <w:szCs w:val="24"/>
        </w:rPr>
        <w:t xml:space="preserve"> described </w:t>
      </w:r>
      <w:r w:rsidR="000E3492">
        <w:rPr>
          <w:sz w:val="24"/>
          <w:szCs w:val="24"/>
        </w:rPr>
        <w:t>in Exhibit “A” attached hereto</w:t>
      </w:r>
      <w:r w:rsidRPr="009124D0">
        <w:rPr>
          <w:sz w:val="24"/>
          <w:szCs w:val="24"/>
        </w:rPr>
        <w:t xml:space="preserve">, to the Future Land Use Plan Map of the City of Newberry Comprehensive Plan, hereinafter referred to as the City's Comprehensive Plan has been filed with the </w:t>
      </w:r>
      <w:proofErr w:type="gramStart"/>
      <w:r w:rsidRPr="009124D0">
        <w:rPr>
          <w:sz w:val="24"/>
          <w:szCs w:val="24"/>
        </w:rPr>
        <w:t>City;</w:t>
      </w:r>
      <w:proofErr w:type="gramEnd"/>
      <w:r w:rsidRPr="009124D0">
        <w:rPr>
          <w:sz w:val="24"/>
          <w:szCs w:val="24"/>
        </w:rPr>
        <w:t xml:space="preserve"> </w:t>
      </w:r>
    </w:p>
    <w:p w14:paraId="55C4622E" w14:textId="77777777" w:rsidR="00316CE6" w:rsidRPr="009124D0" w:rsidRDefault="00316CE6" w:rsidP="00316CE6">
      <w:pPr>
        <w:rPr>
          <w:sz w:val="24"/>
          <w:szCs w:val="24"/>
        </w:rPr>
      </w:pPr>
    </w:p>
    <w:p w14:paraId="69F755C6" w14:textId="77777777" w:rsidR="00316CE6" w:rsidRPr="009124D0" w:rsidRDefault="00316CE6" w:rsidP="00316CE6">
      <w:pPr>
        <w:rPr>
          <w:sz w:val="24"/>
          <w:szCs w:val="24"/>
        </w:rPr>
      </w:pPr>
      <w:r w:rsidRPr="009124D0">
        <w:rPr>
          <w:sz w:val="24"/>
          <w:szCs w:val="24"/>
        </w:rPr>
        <w:tab/>
      </w:r>
      <w:r w:rsidRPr="009124D0">
        <w:rPr>
          <w:b/>
          <w:bCs/>
          <w:sz w:val="24"/>
          <w:szCs w:val="24"/>
        </w:rPr>
        <w:t>WHEREAS,</w:t>
      </w:r>
      <w:r w:rsidRPr="009124D0">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w:t>
      </w:r>
      <w:proofErr w:type="gramStart"/>
      <w:r w:rsidRPr="009124D0">
        <w:rPr>
          <w:sz w:val="24"/>
          <w:szCs w:val="24"/>
        </w:rPr>
        <w:t>Agency;</w:t>
      </w:r>
      <w:proofErr w:type="gramEnd"/>
      <w:r w:rsidRPr="009124D0">
        <w:rPr>
          <w:sz w:val="24"/>
          <w:szCs w:val="24"/>
        </w:rPr>
        <w:t xml:space="preserve"> </w:t>
      </w:r>
    </w:p>
    <w:p w14:paraId="50A28FAE" w14:textId="77777777" w:rsidR="00316CE6" w:rsidRPr="009124D0" w:rsidRDefault="00316CE6" w:rsidP="00316CE6">
      <w:pPr>
        <w:rPr>
          <w:b/>
          <w:bCs/>
          <w:sz w:val="24"/>
          <w:szCs w:val="24"/>
        </w:rPr>
      </w:pPr>
    </w:p>
    <w:p w14:paraId="076EDEA1" w14:textId="04ECA70A" w:rsidR="00316CE6" w:rsidRPr="009124D0" w:rsidRDefault="00316CE6" w:rsidP="00316CE6">
      <w:pPr>
        <w:rPr>
          <w:sz w:val="24"/>
          <w:szCs w:val="24"/>
        </w:rPr>
      </w:pPr>
      <w:r w:rsidRPr="009124D0">
        <w:rPr>
          <w:b/>
          <w:bCs/>
          <w:sz w:val="24"/>
          <w:szCs w:val="24"/>
        </w:rPr>
        <w:tab/>
        <w:t>WHEREAS,</w:t>
      </w:r>
      <w:r w:rsidRPr="009124D0">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w:t>
      </w:r>
      <w:r w:rsidR="007233EF">
        <w:rPr>
          <w:sz w:val="24"/>
          <w:szCs w:val="24"/>
        </w:rPr>
        <w:t>, Future Land Use Element, and Urban Service Area boundary</w:t>
      </w:r>
      <w:r w:rsidRPr="009124D0">
        <w:rPr>
          <w:sz w:val="24"/>
          <w:szCs w:val="24"/>
        </w:rPr>
        <w:t xml:space="preserve"> of the City's Comprehensive Plan</w:t>
      </w:r>
      <w:r w:rsidR="00351382">
        <w:rPr>
          <w:sz w:val="24"/>
          <w:szCs w:val="24"/>
        </w:rPr>
        <w:t>,</w:t>
      </w:r>
      <w:r w:rsidRPr="009124D0">
        <w:rPr>
          <w:sz w:val="24"/>
          <w:szCs w:val="24"/>
        </w:rPr>
        <w:t xml:space="preserve"> and</w:t>
      </w:r>
      <w:r w:rsidR="00351382">
        <w:rPr>
          <w:sz w:val="24"/>
          <w:szCs w:val="24"/>
        </w:rPr>
        <w:t>,</w:t>
      </w:r>
      <w:r w:rsidRPr="009124D0">
        <w:rPr>
          <w:sz w:val="24"/>
          <w:szCs w:val="24"/>
        </w:rPr>
        <w:t xml:space="preserve"> at said public hearing, the Planning and Zoning Board, serving also as the Local Planning Agency, reviewed and considered all comments received during said public hearing </w:t>
      </w:r>
      <w:r w:rsidR="00AB1A17" w:rsidRPr="009124D0">
        <w:rPr>
          <w:sz w:val="24"/>
          <w:szCs w:val="24"/>
        </w:rPr>
        <w:t>conce</w:t>
      </w:r>
      <w:r w:rsidRPr="009124D0">
        <w:rPr>
          <w:sz w:val="24"/>
          <w:szCs w:val="24"/>
        </w:rPr>
        <w:t xml:space="preserv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 </w:t>
      </w:r>
    </w:p>
    <w:p w14:paraId="435F86DA" w14:textId="77777777" w:rsidR="00316CE6" w:rsidRPr="009124D0" w:rsidRDefault="00316CE6" w:rsidP="00316CE6">
      <w:pPr>
        <w:rPr>
          <w:b/>
          <w:bCs/>
          <w:sz w:val="24"/>
          <w:szCs w:val="24"/>
        </w:rPr>
      </w:pPr>
    </w:p>
    <w:p w14:paraId="42C53429" w14:textId="550F6BE7" w:rsidR="00316CE6" w:rsidRPr="009124D0" w:rsidRDefault="00316CE6" w:rsidP="00316CE6">
      <w:pPr>
        <w:rPr>
          <w:sz w:val="24"/>
          <w:szCs w:val="24"/>
        </w:rPr>
      </w:pPr>
      <w:r w:rsidRPr="009124D0">
        <w:rPr>
          <w:b/>
          <w:bCs/>
          <w:sz w:val="24"/>
          <w:szCs w:val="24"/>
        </w:rPr>
        <w:tab/>
        <w:t>WHEREAS,</w:t>
      </w:r>
      <w:r w:rsidRPr="009124D0">
        <w:rPr>
          <w:sz w:val="24"/>
          <w:szCs w:val="24"/>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w:t>
      </w:r>
      <w:r w:rsidRPr="009124D0">
        <w:rPr>
          <w:sz w:val="24"/>
          <w:szCs w:val="24"/>
        </w:rPr>
        <w:lastRenderedPageBreak/>
        <w:t>Plan and at said public hearings, the City Commission reviewed and considered all comments received during said public hearings, including the recommendation of the Planning and Zoning Board, serving also as the Local Planning Agency;</w:t>
      </w:r>
      <w:r w:rsidR="003172E6" w:rsidRPr="003172E6">
        <w:rPr>
          <w:b/>
          <w:sz w:val="24"/>
          <w:szCs w:val="24"/>
        </w:rPr>
        <w:t xml:space="preserve">  </w:t>
      </w:r>
    </w:p>
    <w:p w14:paraId="226ED001" w14:textId="77777777" w:rsidR="00316CE6" w:rsidRPr="009124D0" w:rsidRDefault="00316CE6" w:rsidP="00316CE6">
      <w:pPr>
        <w:rPr>
          <w:sz w:val="24"/>
          <w:szCs w:val="24"/>
        </w:rPr>
      </w:pPr>
    </w:p>
    <w:p w14:paraId="102E784E" w14:textId="12CEC293" w:rsidR="00316CE6" w:rsidRDefault="00316CE6" w:rsidP="00316CE6">
      <w:pPr>
        <w:rPr>
          <w:sz w:val="24"/>
          <w:szCs w:val="24"/>
        </w:rPr>
      </w:pPr>
      <w:r w:rsidRPr="009124D0">
        <w:rPr>
          <w:b/>
          <w:bCs/>
          <w:sz w:val="24"/>
          <w:szCs w:val="24"/>
        </w:rPr>
        <w:tab/>
      </w:r>
      <w:proofErr w:type="gramStart"/>
      <w:r w:rsidRPr="009124D0">
        <w:rPr>
          <w:b/>
          <w:bCs/>
          <w:sz w:val="24"/>
          <w:szCs w:val="24"/>
        </w:rPr>
        <w:t>WHEREAS,</w:t>
      </w:r>
      <w:proofErr w:type="gramEnd"/>
      <w:r w:rsidRPr="009124D0">
        <w:rPr>
          <w:sz w:val="24"/>
          <w:szCs w:val="24"/>
        </w:rPr>
        <w:t xml:space="preserve"> the City Commission found said application for an amendment, as described below, to the Future Land Use Plan Map</w:t>
      </w:r>
      <w:r w:rsidR="007233EF">
        <w:rPr>
          <w:sz w:val="24"/>
          <w:szCs w:val="24"/>
        </w:rPr>
        <w:t>, Future Land Use Element, and Urban Service Area boundary</w:t>
      </w:r>
      <w:r w:rsidRPr="009124D0">
        <w:rPr>
          <w:sz w:val="24"/>
          <w:szCs w:val="24"/>
        </w:rPr>
        <w:t xml:space="preserve"> of the City’s Comprehensive Plan to be compatible with the Land Use Element objectives and policies, and those of other affected elements of the City’s Comprehensive Plan</w:t>
      </w:r>
      <w:r w:rsidR="00351382">
        <w:rPr>
          <w:sz w:val="24"/>
          <w:szCs w:val="24"/>
        </w:rPr>
        <w:t xml:space="preserve"> and authorized transmittal to the Florida Department of Commerce, hereinafter “FDOC”</w:t>
      </w:r>
      <w:r w:rsidRPr="009124D0">
        <w:rPr>
          <w:sz w:val="24"/>
          <w:szCs w:val="24"/>
        </w:rPr>
        <w:t>;</w:t>
      </w:r>
    </w:p>
    <w:p w14:paraId="61EC0AFF" w14:textId="77777777" w:rsidR="004C4659" w:rsidRDefault="004C4659" w:rsidP="00316CE6">
      <w:pPr>
        <w:rPr>
          <w:sz w:val="24"/>
          <w:szCs w:val="24"/>
        </w:rPr>
      </w:pPr>
    </w:p>
    <w:p w14:paraId="2F2EA80F" w14:textId="1201BE75" w:rsidR="004C4659" w:rsidRDefault="004C4659" w:rsidP="00316CE6">
      <w:pPr>
        <w:rPr>
          <w:sz w:val="24"/>
          <w:szCs w:val="24"/>
        </w:rPr>
      </w:pPr>
      <w:r>
        <w:rPr>
          <w:sz w:val="24"/>
          <w:szCs w:val="24"/>
        </w:rPr>
        <w:tab/>
      </w:r>
      <w:r w:rsidRPr="0066117B">
        <w:rPr>
          <w:b/>
          <w:bCs/>
          <w:sz w:val="24"/>
          <w:szCs w:val="24"/>
        </w:rPr>
        <w:t>WHEREAS,</w:t>
      </w:r>
      <w:r>
        <w:rPr>
          <w:sz w:val="24"/>
          <w:szCs w:val="24"/>
        </w:rPr>
        <w:t xml:space="preserve"> the proposed large-scale land use amendment was received </w:t>
      </w:r>
      <w:r w:rsidR="001C526C">
        <w:rPr>
          <w:sz w:val="24"/>
          <w:szCs w:val="24"/>
        </w:rPr>
        <w:t xml:space="preserve">by the FDOC, assigned </w:t>
      </w:r>
      <w:r w:rsidR="001C526C" w:rsidRPr="00176267">
        <w:rPr>
          <w:b/>
          <w:bCs/>
          <w:sz w:val="24"/>
          <w:szCs w:val="24"/>
        </w:rPr>
        <w:t>File No. 2</w:t>
      </w:r>
      <w:r w:rsidR="00176267" w:rsidRPr="00176267">
        <w:rPr>
          <w:b/>
          <w:bCs/>
          <w:sz w:val="24"/>
          <w:szCs w:val="24"/>
        </w:rPr>
        <w:t>3</w:t>
      </w:r>
      <w:r w:rsidR="001C526C" w:rsidRPr="00176267">
        <w:rPr>
          <w:b/>
          <w:bCs/>
          <w:sz w:val="24"/>
          <w:szCs w:val="24"/>
        </w:rPr>
        <w:t>-0</w:t>
      </w:r>
      <w:r w:rsidR="00176267">
        <w:rPr>
          <w:b/>
          <w:bCs/>
          <w:sz w:val="24"/>
          <w:szCs w:val="24"/>
        </w:rPr>
        <w:t>3</w:t>
      </w:r>
      <w:r w:rsidR="001C526C" w:rsidRPr="00176267">
        <w:rPr>
          <w:b/>
          <w:bCs/>
          <w:sz w:val="24"/>
          <w:szCs w:val="24"/>
        </w:rPr>
        <w:t>ESR</w:t>
      </w:r>
      <w:proofErr w:type="gramStart"/>
      <w:r w:rsidR="001C526C">
        <w:rPr>
          <w:sz w:val="24"/>
          <w:szCs w:val="24"/>
        </w:rPr>
        <w:t>, was</w:t>
      </w:r>
      <w:proofErr w:type="gramEnd"/>
      <w:r w:rsidR="001C526C">
        <w:rPr>
          <w:sz w:val="24"/>
          <w:szCs w:val="24"/>
        </w:rPr>
        <w:t xml:space="preserve"> reviewed and found to not have adverse impacts on State of Florida </w:t>
      </w:r>
      <w:proofErr w:type="gramStart"/>
      <w:r w:rsidR="001C526C">
        <w:rPr>
          <w:sz w:val="24"/>
          <w:szCs w:val="24"/>
        </w:rPr>
        <w:t>resources;</w:t>
      </w:r>
      <w:proofErr w:type="gramEnd"/>
    </w:p>
    <w:p w14:paraId="68AFFFA1" w14:textId="77777777" w:rsidR="00D12553" w:rsidRDefault="00D12553" w:rsidP="00316CE6">
      <w:pPr>
        <w:rPr>
          <w:sz w:val="24"/>
          <w:szCs w:val="24"/>
        </w:rPr>
      </w:pPr>
    </w:p>
    <w:p w14:paraId="584A0359" w14:textId="2068FC2A" w:rsidR="00D12553" w:rsidRDefault="00D12553" w:rsidP="00316CE6">
      <w:pPr>
        <w:rPr>
          <w:sz w:val="24"/>
          <w:szCs w:val="24"/>
        </w:rPr>
      </w:pPr>
      <w:r>
        <w:rPr>
          <w:sz w:val="24"/>
          <w:szCs w:val="24"/>
        </w:rPr>
        <w:tab/>
      </w:r>
      <w:r w:rsidRPr="0066117B">
        <w:rPr>
          <w:b/>
          <w:bCs/>
          <w:sz w:val="24"/>
          <w:szCs w:val="24"/>
        </w:rPr>
        <w:t>WHERAS,</w:t>
      </w:r>
      <w:r>
        <w:rPr>
          <w:sz w:val="24"/>
          <w:szCs w:val="24"/>
        </w:rPr>
        <w:t xml:space="preserve"> the City Commission held an adoption hearing on </w:t>
      </w:r>
      <w:r w:rsidR="00176267">
        <w:rPr>
          <w:sz w:val="24"/>
          <w:szCs w:val="24"/>
        </w:rPr>
        <w:t>December 11</w:t>
      </w:r>
      <w:r>
        <w:rPr>
          <w:sz w:val="24"/>
          <w:szCs w:val="24"/>
        </w:rPr>
        <w:t>, 2023, and transmitted the adopted Ordinance 2023-2</w:t>
      </w:r>
      <w:r w:rsidR="00176267">
        <w:rPr>
          <w:sz w:val="24"/>
          <w:szCs w:val="24"/>
        </w:rPr>
        <w:t>1</w:t>
      </w:r>
      <w:r w:rsidR="000E3492">
        <w:rPr>
          <w:sz w:val="24"/>
          <w:szCs w:val="24"/>
        </w:rPr>
        <w:t xml:space="preserve"> </w:t>
      </w:r>
      <w:r>
        <w:rPr>
          <w:sz w:val="24"/>
          <w:szCs w:val="24"/>
        </w:rPr>
        <w:t xml:space="preserve">to FDOC on </w:t>
      </w:r>
      <w:r w:rsidR="000E3492">
        <w:rPr>
          <w:sz w:val="24"/>
          <w:szCs w:val="24"/>
        </w:rPr>
        <w:t xml:space="preserve">April </w:t>
      </w:r>
      <w:r w:rsidR="00176267">
        <w:rPr>
          <w:sz w:val="24"/>
          <w:szCs w:val="24"/>
        </w:rPr>
        <w:t>3</w:t>
      </w:r>
      <w:r w:rsidR="000E3492">
        <w:rPr>
          <w:sz w:val="24"/>
          <w:szCs w:val="24"/>
        </w:rPr>
        <w:t xml:space="preserve">, </w:t>
      </w:r>
      <w:proofErr w:type="gramStart"/>
      <w:r w:rsidR="000E3492">
        <w:rPr>
          <w:sz w:val="24"/>
          <w:szCs w:val="24"/>
        </w:rPr>
        <w:t>2024;</w:t>
      </w:r>
      <w:proofErr w:type="gramEnd"/>
    </w:p>
    <w:p w14:paraId="4F1E7BA1" w14:textId="77777777" w:rsidR="00351382" w:rsidRDefault="00351382" w:rsidP="00316CE6">
      <w:pPr>
        <w:rPr>
          <w:sz w:val="24"/>
          <w:szCs w:val="24"/>
        </w:rPr>
      </w:pPr>
    </w:p>
    <w:p w14:paraId="590B9111" w14:textId="001DCB02" w:rsidR="00351382" w:rsidRDefault="00351382" w:rsidP="00316CE6">
      <w:pPr>
        <w:rPr>
          <w:sz w:val="24"/>
          <w:szCs w:val="24"/>
        </w:rPr>
      </w:pPr>
      <w:r>
        <w:rPr>
          <w:sz w:val="24"/>
          <w:szCs w:val="24"/>
        </w:rPr>
        <w:tab/>
      </w:r>
      <w:r w:rsidRPr="004C4659">
        <w:rPr>
          <w:b/>
          <w:bCs/>
          <w:sz w:val="24"/>
          <w:szCs w:val="24"/>
        </w:rPr>
        <w:t>WHEREAS</w:t>
      </w:r>
      <w:r>
        <w:rPr>
          <w:sz w:val="24"/>
          <w:szCs w:val="24"/>
        </w:rPr>
        <w:t xml:space="preserve">, </w:t>
      </w:r>
      <w:r w:rsidR="004C4659">
        <w:rPr>
          <w:sz w:val="24"/>
          <w:szCs w:val="24"/>
        </w:rPr>
        <w:t>pursuant to Section 163.3184</w:t>
      </w:r>
      <w:r w:rsidR="00176267">
        <w:rPr>
          <w:sz w:val="24"/>
          <w:szCs w:val="24"/>
        </w:rPr>
        <w:t>(3)(c)2.</w:t>
      </w:r>
      <w:r w:rsidR="004C4659">
        <w:rPr>
          <w:sz w:val="24"/>
          <w:szCs w:val="24"/>
        </w:rPr>
        <w:t xml:space="preserve">, Florida Statutes as amended, </w:t>
      </w:r>
      <w:r w:rsidR="00046862">
        <w:rPr>
          <w:sz w:val="24"/>
          <w:szCs w:val="24"/>
        </w:rPr>
        <w:t xml:space="preserve">the City was unable to </w:t>
      </w:r>
      <w:r w:rsidR="004C4659">
        <w:rPr>
          <w:sz w:val="24"/>
          <w:szCs w:val="24"/>
        </w:rPr>
        <w:t>transmit</w:t>
      </w:r>
      <w:r w:rsidR="00046862">
        <w:rPr>
          <w:sz w:val="24"/>
          <w:szCs w:val="24"/>
        </w:rPr>
        <w:t xml:space="preserve"> the land use</w:t>
      </w:r>
      <w:r w:rsidR="00176267">
        <w:rPr>
          <w:sz w:val="24"/>
          <w:szCs w:val="24"/>
        </w:rPr>
        <w:t xml:space="preserve"> plan</w:t>
      </w:r>
      <w:r w:rsidR="00046862">
        <w:rPr>
          <w:sz w:val="24"/>
          <w:szCs w:val="24"/>
        </w:rPr>
        <w:t xml:space="preserve"> amendment</w:t>
      </w:r>
      <w:r w:rsidR="004C4659">
        <w:rPr>
          <w:sz w:val="24"/>
          <w:szCs w:val="24"/>
        </w:rPr>
        <w:t xml:space="preserve"> to FDOC within </w:t>
      </w:r>
      <w:r w:rsidR="00046862">
        <w:rPr>
          <w:sz w:val="24"/>
          <w:szCs w:val="24"/>
        </w:rPr>
        <w:t xml:space="preserve">the </w:t>
      </w:r>
      <w:r w:rsidR="004C4659">
        <w:rPr>
          <w:sz w:val="24"/>
          <w:szCs w:val="24"/>
        </w:rPr>
        <w:t xml:space="preserve">10 working days </w:t>
      </w:r>
      <w:r w:rsidR="00046862">
        <w:rPr>
          <w:sz w:val="24"/>
          <w:szCs w:val="24"/>
        </w:rPr>
        <w:t xml:space="preserve">allotted to local </w:t>
      </w:r>
      <w:proofErr w:type="gramStart"/>
      <w:r w:rsidR="00046862">
        <w:rPr>
          <w:sz w:val="24"/>
          <w:szCs w:val="24"/>
        </w:rPr>
        <w:t>governments</w:t>
      </w:r>
      <w:r w:rsidR="004C4659">
        <w:rPr>
          <w:sz w:val="24"/>
          <w:szCs w:val="24"/>
        </w:rPr>
        <w:t>;</w:t>
      </w:r>
      <w:proofErr w:type="gramEnd"/>
    </w:p>
    <w:p w14:paraId="428D4162" w14:textId="77777777" w:rsidR="004C4659" w:rsidRDefault="004C4659" w:rsidP="00316CE6">
      <w:pPr>
        <w:rPr>
          <w:sz w:val="24"/>
          <w:szCs w:val="24"/>
        </w:rPr>
      </w:pPr>
    </w:p>
    <w:p w14:paraId="11CA00B4" w14:textId="4BDB554C" w:rsidR="004C4659" w:rsidRPr="009124D0" w:rsidRDefault="004C4659" w:rsidP="00316CE6">
      <w:pPr>
        <w:rPr>
          <w:sz w:val="24"/>
          <w:szCs w:val="24"/>
        </w:rPr>
      </w:pPr>
      <w:r>
        <w:rPr>
          <w:sz w:val="24"/>
          <w:szCs w:val="24"/>
        </w:rPr>
        <w:tab/>
      </w:r>
      <w:r w:rsidRPr="0066117B">
        <w:rPr>
          <w:b/>
          <w:bCs/>
          <w:sz w:val="24"/>
          <w:szCs w:val="24"/>
        </w:rPr>
        <w:t>WHEREAS,</w:t>
      </w:r>
      <w:r>
        <w:rPr>
          <w:sz w:val="24"/>
          <w:szCs w:val="24"/>
        </w:rPr>
        <w:t xml:space="preserve"> the City </w:t>
      </w:r>
      <w:r w:rsidR="00046862">
        <w:rPr>
          <w:sz w:val="24"/>
          <w:szCs w:val="24"/>
        </w:rPr>
        <w:t xml:space="preserve">has requested </w:t>
      </w:r>
      <w:r w:rsidR="004F7A5E">
        <w:rPr>
          <w:sz w:val="24"/>
          <w:szCs w:val="24"/>
        </w:rPr>
        <w:t xml:space="preserve">from </w:t>
      </w:r>
      <w:r w:rsidR="00046862">
        <w:rPr>
          <w:sz w:val="24"/>
          <w:szCs w:val="24"/>
        </w:rPr>
        <w:t>and been granted an extension</w:t>
      </w:r>
      <w:r w:rsidR="00FE7460">
        <w:rPr>
          <w:sz w:val="24"/>
          <w:szCs w:val="24"/>
        </w:rPr>
        <w:t xml:space="preserve"> </w:t>
      </w:r>
      <w:r w:rsidR="004F7A5E">
        <w:rPr>
          <w:sz w:val="24"/>
          <w:szCs w:val="24"/>
        </w:rPr>
        <w:t xml:space="preserve">by FDOC </w:t>
      </w:r>
      <w:r w:rsidR="00FE7460">
        <w:rPr>
          <w:sz w:val="24"/>
          <w:szCs w:val="24"/>
        </w:rPr>
        <w:t xml:space="preserve">to comply with Section 163.3184 by October 31, </w:t>
      </w:r>
      <w:proofErr w:type="gramStart"/>
      <w:r w:rsidR="00FE7460">
        <w:rPr>
          <w:sz w:val="24"/>
          <w:szCs w:val="24"/>
        </w:rPr>
        <w:t>2024</w:t>
      </w:r>
      <w:r w:rsidR="00176267">
        <w:rPr>
          <w:sz w:val="24"/>
          <w:szCs w:val="24"/>
        </w:rPr>
        <w:t>;</w:t>
      </w:r>
      <w:proofErr w:type="gramEnd"/>
    </w:p>
    <w:p w14:paraId="61C9F5D1" w14:textId="77777777" w:rsidR="00781CA2" w:rsidRPr="009124D0" w:rsidRDefault="00781CA2" w:rsidP="00316CE6">
      <w:pPr>
        <w:rPr>
          <w:sz w:val="24"/>
          <w:szCs w:val="24"/>
        </w:rPr>
      </w:pPr>
    </w:p>
    <w:p w14:paraId="1BE83695" w14:textId="073CE992" w:rsidR="00781CA2" w:rsidRPr="009124D0" w:rsidRDefault="00781CA2" w:rsidP="00781CA2">
      <w:pPr>
        <w:ind w:firstLine="720"/>
        <w:rPr>
          <w:sz w:val="24"/>
          <w:szCs w:val="24"/>
        </w:rPr>
      </w:pPr>
      <w:r w:rsidRPr="009124D0">
        <w:rPr>
          <w:b/>
          <w:bCs/>
          <w:sz w:val="24"/>
          <w:szCs w:val="24"/>
        </w:rPr>
        <w:t>WHEREAS,</w:t>
      </w:r>
      <w:r w:rsidRPr="009124D0">
        <w:rPr>
          <w:sz w:val="24"/>
          <w:szCs w:val="24"/>
        </w:rPr>
        <w:t xml:space="preserve"> the City Commission, found, subsequ</w:t>
      </w:r>
      <w:r w:rsidR="00AB1A17" w:rsidRPr="009124D0">
        <w:rPr>
          <w:sz w:val="24"/>
          <w:szCs w:val="24"/>
        </w:rPr>
        <w:t xml:space="preserve">ent to </w:t>
      </w:r>
      <w:r w:rsidR="00846D16" w:rsidRPr="009124D0">
        <w:rPr>
          <w:sz w:val="24"/>
          <w:szCs w:val="24"/>
        </w:rPr>
        <w:t xml:space="preserve">the </w:t>
      </w:r>
      <w:r w:rsidR="00AB1A17" w:rsidRPr="009124D0">
        <w:rPr>
          <w:sz w:val="24"/>
          <w:szCs w:val="24"/>
        </w:rPr>
        <w:t xml:space="preserve">expedited </w:t>
      </w:r>
      <w:r w:rsidR="00846D16" w:rsidRPr="009124D0">
        <w:rPr>
          <w:sz w:val="24"/>
          <w:szCs w:val="24"/>
        </w:rPr>
        <w:t xml:space="preserve">submittal to </w:t>
      </w:r>
      <w:r w:rsidR="00AB1A17" w:rsidRPr="009124D0">
        <w:rPr>
          <w:sz w:val="24"/>
          <w:szCs w:val="24"/>
        </w:rPr>
        <w:t xml:space="preserve">the Florida Department of Economic Opportunity </w:t>
      </w:r>
      <w:r w:rsidR="00AD5B2F" w:rsidRPr="009124D0">
        <w:rPr>
          <w:sz w:val="24"/>
          <w:szCs w:val="24"/>
        </w:rPr>
        <w:t xml:space="preserve">pursuant to </w:t>
      </w:r>
      <w:r w:rsidR="00846D16" w:rsidRPr="009124D0">
        <w:rPr>
          <w:sz w:val="24"/>
          <w:szCs w:val="24"/>
        </w:rPr>
        <w:t xml:space="preserve">the Expedited State Review Process provided in </w:t>
      </w:r>
      <w:r w:rsidR="00AD5B2F" w:rsidRPr="009124D0">
        <w:rPr>
          <w:sz w:val="24"/>
          <w:szCs w:val="24"/>
        </w:rPr>
        <w:t xml:space="preserve">Section 163.3184 (3), </w:t>
      </w:r>
      <w:r w:rsidR="00795737" w:rsidRPr="009124D0">
        <w:rPr>
          <w:sz w:val="24"/>
          <w:szCs w:val="24"/>
        </w:rPr>
        <w:t xml:space="preserve">Florida Statutes, </w:t>
      </w:r>
      <w:r w:rsidR="00AB1A17" w:rsidRPr="009124D0">
        <w:rPr>
          <w:sz w:val="24"/>
          <w:szCs w:val="24"/>
        </w:rPr>
        <w:t>n</w:t>
      </w:r>
      <w:r w:rsidRPr="009124D0">
        <w:rPr>
          <w:sz w:val="24"/>
          <w:szCs w:val="24"/>
        </w:rPr>
        <w:t xml:space="preserve">o objections recommendations or comments </w:t>
      </w:r>
      <w:r w:rsidR="00AB1A17" w:rsidRPr="009124D0">
        <w:rPr>
          <w:sz w:val="24"/>
          <w:szCs w:val="24"/>
        </w:rPr>
        <w:t xml:space="preserve">were submitted by said Department and </w:t>
      </w:r>
      <w:r w:rsidRPr="009124D0">
        <w:rPr>
          <w:sz w:val="24"/>
          <w:szCs w:val="24"/>
        </w:rPr>
        <w:t>that said application for an amendment, as described below, to the Future Land Use</w:t>
      </w:r>
      <w:r w:rsidR="007233EF">
        <w:rPr>
          <w:sz w:val="24"/>
          <w:szCs w:val="24"/>
        </w:rPr>
        <w:t xml:space="preserve"> Plan Map, Future Land Use</w:t>
      </w:r>
      <w:r w:rsidRPr="009124D0">
        <w:rPr>
          <w:sz w:val="24"/>
          <w:szCs w:val="24"/>
        </w:rPr>
        <w:t xml:space="preserve"> Element</w:t>
      </w:r>
      <w:r w:rsidR="007233EF">
        <w:rPr>
          <w:sz w:val="24"/>
          <w:szCs w:val="24"/>
        </w:rPr>
        <w:t>, and Urban Service Area boundary</w:t>
      </w:r>
      <w:r w:rsidRPr="009124D0">
        <w:rPr>
          <w:sz w:val="24"/>
          <w:szCs w:val="24"/>
        </w:rPr>
        <w:t xml:space="preserve"> of the City’s Comprehensive Plan to be found by the State Land Planning Agency to be compatible with the other affected elements of the City’s Comprehensive Plan; and</w:t>
      </w:r>
    </w:p>
    <w:p w14:paraId="3682BBEF" w14:textId="77777777" w:rsidR="00316CE6" w:rsidRPr="009124D0" w:rsidRDefault="00316CE6" w:rsidP="00316CE6">
      <w:pPr>
        <w:rPr>
          <w:sz w:val="24"/>
          <w:szCs w:val="24"/>
        </w:rPr>
      </w:pPr>
    </w:p>
    <w:p w14:paraId="50709671" w14:textId="535AA04A" w:rsidR="00316CE6" w:rsidRPr="009124D0" w:rsidRDefault="00316CE6" w:rsidP="00316CE6">
      <w:pPr>
        <w:rPr>
          <w:sz w:val="24"/>
          <w:szCs w:val="24"/>
        </w:rPr>
      </w:pPr>
      <w:r w:rsidRPr="009124D0">
        <w:rPr>
          <w:sz w:val="24"/>
          <w:szCs w:val="24"/>
        </w:rPr>
        <w:tab/>
      </w:r>
      <w:r w:rsidRPr="009124D0">
        <w:rPr>
          <w:b/>
          <w:bCs/>
          <w:sz w:val="24"/>
          <w:szCs w:val="24"/>
        </w:rPr>
        <w:t xml:space="preserve">WHEREAS, </w:t>
      </w:r>
      <w:r w:rsidRPr="009124D0">
        <w:rPr>
          <w:sz w:val="24"/>
          <w:szCs w:val="24"/>
        </w:rPr>
        <w:t>the City Commission, has determined and found that approval of an application for amendment to the Future Land Use Plan Map</w:t>
      </w:r>
      <w:r w:rsidR="007233EF">
        <w:rPr>
          <w:sz w:val="24"/>
          <w:szCs w:val="24"/>
        </w:rPr>
        <w:t>, Future Land Use Element, and Urban Service Area boundary</w:t>
      </w:r>
      <w:r w:rsidRPr="009124D0">
        <w:rPr>
          <w:sz w:val="24"/>
          <w:szCs w:val="24"/>
        </w:rPr>
        <w:t xml:space="preserve"> of the City’s Comprehensive Plan would promote the public health, safety, morals, order, comfort, convenience, appearance, prosperity or general welfare.</w:t>
      </w:r>
    </w:p>
    <w:p w14:paraId="0A4845FF" w14:textId="77777777" w:rsidR="00316CE6" w:rsidRPr="009124D0" w:rsidRDefault="00316CE6" w:rsidP="00316CE6">
      <w:pPr>
        <w:jc w:val="center"/>
        <w:rPr>
          <w:sz w:val="24"/>
          <w:szCs w:val="24"/>
        </w:rPr>
      </w:pPr>
    </w:p>
    <w:p w14:paraId="11B1EC0E" w14:textId="77777777" w:rsidR="00316CE6" w:rsidRPr="009124D0" w:rsidRDefault="00316CE6" w:rsidP="00316CE6">
      <w:pPr>
        <w:rPr>
          <w:b/>
          <w:bCs/>
          <w:sz w:val="24"/>
          <w:szCs w:val="24"/>
        </w:rPr>
      </w:pPr>
      <w:r w:rsidRPr="009124D0">
        <w:rPr>
          <w:sz w:val="24"/>
          <w:szCs w:val="24"/>
        </w:rPr>
        <w:tab/>
      </w:r>
      <w:r w:rsidRPr="009124D0">
        <w:rPr>
          <w:b/>
          <w:bCs/>
          <w:sz w:val="24"/>
          <w:szCs w:val="24"/>
        </w:rPr>
        <w:t>NOW, THEREFORE, BE IT ORDAINED BY THE PEOPLE OF THE CITY OF NEWBERRY, FLORIDA, AS FOLLOWS:</w:t>
      </w:r>
    </w:p>
    <w:p w14:paraId="71B99333" w14:textId="77777777" w:rsidR="00316CE6" w:rsidRPr="009124D0" w:rsidRDefault="00316CE6" w:rsidP="00316CE6">
      <w:pPr>
        <w:rPr>
          <w:sz w:val="24"/>
          <w:szCs w:val="24"/>
        </w:rPr>
      </w:pPr>
    </w:p>
    <w:p w14:paraId="458E1C1E" w14:textId="722CEF9E" w:rsidR="00A83979" w:rsidRPr="004C4659" w:rsidRDefault="00316CE6" w:rsidP="007B2EF9">
      <w:pPr>
        <w:ind w:firstLine="720"/>
        <w:rPr>
          <w:b/>
          <w:highlight w:val="yellow"/>
        </w:rPr>
      </w:pPr>
      <w:r w:rsidRPr="00FE7460">
        <w:rPr>
          <w:b/>
          <w:bCs/>
          <w:sz w:val="24"/>
          <w:szCs w:val="24"/>
          <w:u w:val="single"/>
        </w:rPr>
        <w:t>Section 1.</w:t>
      </w:r>
      <w:r w:rsidRPr="00FE7460">
        <w:rPr>
          <w:b/>
          <w:bCs/>
          <w:sz w:val="24"/>
          <w:szCs w:val="24"/>
        </w:rPr>
        <w:t xml:space="preserve">  </w:t>
      </w:r>
      <w:r w:rsidR="007B2EF9" w:rsidRPr="007B2EF9">
        <w:rPr>
          <w:sz w:val="24"/>
          <w:szCs w:val="24"/>
        </w:rPr>
        <w:t>Pursuant to an application, CPA 23-09 by the City Commission, to amend the Future Land Use Plan Map, the Urban Services Area Sub Element of the Future Land Use Element, and Urban Services Area boundary of the City's Comprehensive Plan</w:t>
      </w:r>
      <w:r w:rsidR="007B2EF9">
        <w:rPr>
          <w:sz w:val="24"/>
          <w:szCs w:val="24"/>
        </w:rPr>
        <w:t xml:space="preserve"> as adopted in </w:t>
      </w:r>
      <w:r w:rsidR="007B2EF9" w:rsidRPr="007B2EF9">
        <w:rPr>
          <w:sz w:val="24"/>
          <w:szCs w:val="24"/>
        </w:rPr>
        <w:t xml:space="preserve"> by amending the text of the Future Land Use Element to reflect the current community vision for the City’s development and redevelopment efforts, amending the text of the Future Land Use Element and the Future Land Use Plan Map, and amending the Urban Services Area boundary. Also included are technical changes resulting from urban services area policy clarification, and changes to FS 163.3177. The amended article of the City of Newberry Comprehensive Plan is </w:t>
      </w:r>
      <w:r w:rsidR="007B2EF9" w:rsidRPr="007B2EF9">
        <w:rPr>
          <w:sz w:val="24"/>
          <w:szCs w:val="24"/>
        </w:rPr>
        <w:lastRenderedPageBreak/>
        <w:t>attached hereto as Attachment “A,” the amended Urban Services Area boundary of the Future Land Use Map is attached hereto as Attachment “B,” and made a part hereof.</w:t>
      </w:r>
    </w:p>
    <w:p w14:paraId="1D3EFCC0" w14:textId="34845EE8" w:rsidR="00BB4E95" w:rsidRPr="00BB4E95" w:rsidRDefault="00BB4E95" w:rsidP="00DA3CF7">
      <w:pPr>
        <w:ind w:firstLine="720"/>
        <w:rPr>
          <w:sz w:val="24"/>
          <w:szCs w:val="24"/>
        </w:rPr>
      </w:pPr>
      <w:r w:rsidRPr="00BB4E95">
        <w:rPr>
          <w:b/>
          <w:bCs/>
          <w:sz w:val="24"/>
          <w:szCs w:val="24"/>
          <w:u w:val="single"/>
        </w:rPr>
        <w:t>Section 2.</w:t>
      </w:r>
      <w:r w:rsidRPr="00BB4E95">
        <w:rPr>
          <w:sz w:val="24"/>
          <w:szCs w:val="24"/>
        </w:rPr>
        <w:t xml:space="preserve">  </w:t>
      </w:r>
      <w:r w:rsidRPr="00BB4E95">
        <w:rPr>
          <w:b/>
          <w:bCs/>
          <w:sz w:val="24"/>
          <w:szCs w:val="24"/>
        </w:rPr>
        <w:t xml:space="preserve">Transmittal. </w:t>
      </w:r>
      <w:r w:rsidRPr="00BB4E95">
        <w:rPr>
          <w:sz w:val="24"/>
          <w:szCs w:val="24"/>
        </w:rPr>
        <w:t>The City Manager or their designee is directed to transmit a copy of this Ordinance to the FDOC within 10 days from the date of re-adoption as required under the Large-Scale amendment process provided in Fs. 163.3184, as amended.</w:t>
      </w:r>
    </w:p>
    <w:p w14:paraId="24174B95" w14:textId="77777777" w:rsidR="00BB4E95" w:rsidRPr="00BB4E95" w:rsidRDefault="00BB4E95" w:rsidP="00DA3CF7">
      <w:pPr>
        <w:ind w:firstLine="720"/>
        <w:rPr>
          <w:sz w:val="24"/>
          <w:szCs w:val="24"/>
        </w:rPr>
      </w:pPr>
    </w:p>
    <w:p w14:paraId="287FA9B9" w14:textId="5B8B50A3" w:rsidR="00316CE6" w:rsidRPr="00BB4E95" w:rsidRDefault="00316CE6" w:rsidP="00DA3CF7">
      <w:pPr>
        <w:ind w:firstLine="720"/>
        <w:rPr>
          <w:sz w:val="24"/>
          <w:szCs w:val="24"/>
        </w:rPr>
      </w:pPr>
      <w:r w:rsidRPr="00BB4E95">
        <w:rPr>
          <w:b/>
          <w:bCs/>
          <w:sz w:val="24"/>
          <w:szCs w:val="24"/>
          <w:u w:val="single"/>
        </w:rPr>
        <w:t xml:space="preserve">Section </w:t>
      </w:r>
      <w:r w:rsidR="00BB4E95" w:rsidRPr="00BB4E95">
        <w:rPr>
          <w:b/>
          <w:bCs/>
          <w:sz w:val="24"/>
          <w:szCs w:val="24"/>
          <w:u w:val="single"/>
        </w:rPr>
        <w:t>3</w:t>
      </w:r>
      <w:r w:rsidRPr="00BB4E95">
        <w:rPr>
          <w:b/>
          <w:bCs/>
          <w:sz w:val="24"/>
          <w:szCs w:val="24"/>
          <w:u w:val="single"/>
        </w:rPr>
        <w:t>.</w:t>
      </w:r>
      <w:r w:rsidRPr="00BB4E95">
        <w:rPr>
          <w:b/>
          <w:bCs/>
          <w:sz w:val="24"/>
          <w:szCs w:val="24"/>
        </w:rPr>
        <w:t xml:space="preserve"> </w:t>
      </w:r>
      <w:r w:rsidRPr="00BB4E95">
        <w:rPr>
          <w:sz w:val="24"/>
          <w:szCs w:val="24"/>
        </w:rPr>
        <w:t xml:space="preserve"> </w:t>
      </w:r>
      <w:r w:rsidRPr="00BB4E95">
        <w:rPr>
          <w:b/>
          <w:bCs/>
          <w:sz w:val="24"/>
          <w:szCs w:val="24"/>
        </w:rPr>
        <w:t xml:space="preserve">Severability. </w:t>
      </w:r>
      <w:r w:rsidRPr="00BB4E95">
        <w:rPr>
          <w:sz w:val="24"/>
          <w:szCs w:val="24"/>
        </w:rPr>
        <w:t xml:space="preserve"> If any provision or portion of this Ordinance is declared by any court of competent jurisdiction to be void, unconstitutional or unenforceable, then all remaining provisions and portions of this Ordinance shall remain in full force and effect.</w:t>
      </w:r>
    </w:p>
    <w:p w14:paraId="449ED7D4" w14:textId="77777777" w:rsidR="00316CE6" w:rsidRPr="00BB4E95" w:rsidRDefault="00316CE6" w:rsidP="00316CE6">
      <w:pPr>
        <w:rPr>
          <w:sz w:val="24"/>
          <w:szCs w:val="24"/>
        </w:rPr>
      </w:pPr>
    </w:p>
    <w:p w14:paraId="1CCAADA5" w14:textId="6C6FD06B" w:rsidR="00316CE6" w:rsidRPr="00BB4E95" w:rsidRDefault="00316CE6" w:rsidP="00DA3CF7">
      <w:pPr>
        <w:ind w:firstLine="720"/>
        <w:rPr>
          <w:sz w:val="24"/>
          <w:szCs w:val="24"/>
        </w:rPr>
      </w:pPr>
      <w:r w:rsidRPr="00BB4E95">
        <w:rPr>
          <w:b/>
          <w:bCs/>
          <w:sz w:val="24"/>
          <w:szCs w:val="24"/>
          <w:u w:val="single"/>
        </w:rPr>
        <w:t xml:space="preserve">Section </w:t>
      </w:r>
      <w:r w:rsidR="00BB4E95" w:rsidRPr="00BB4E95">
        <w:rPr>
          <w:b/>
          <w:bCs/>
          <w:sz w:val="24"/>
          <w:szCs w:val="24"/>
          <w:u w:val="single"/>
        </w:rPr>
        <w:t>4</w:t>
      </w:r>
      <w:r w:rsidRPr="00BB4E95">
        <w:rPr>
          <w:b/>
          <w:bCs/>
          <w:sz w:val="24"/>
          <w:szCs w:val="24"/>
          <w:u w:val="single"/>
        </w:rPr>
        <w:t>.</w:t>
      </w:r>
      <w:r w:rsidR="003172E6" w:rsidRPr="00BB4E95">
        <w:rPr>
          <w:b/>
          <w:sz w:val="24"/>
          <w:szCs w:val="24"/>
        </w:rPr>
        <w:t xml:space="preserve"> </w:t>
      </w:r>
      <w:r w:rsidRPr="00BB4E95">
        <w:rPr>
          <w:b/>
          <w:bCs/>
          <w:sz w:val="24"/>
          <w:szCs w:val="24"/>
        </w:rPr>
        <w:t>Conflict.</w:t>
      </w:r>
      <w:r w:rsidR="003172E6" w:rsidRPr="00BB4E95">
        <w:rPr>
          <w:b/>
          <w:sz w:val="24"/>
          <w:szCs w:val="24"/>
        </w:rPr>
        <w:t xml:space="preserve"> </w:t>
      </w:r>
      <w:r w:rsidRPr="00BB4E95">
        <w:rPr>
          <w:sz w:val="24"/>
          <w:szCs w:val="24"/>
        </w:rPr>
        <w:t>All ordinances or parts of ordinances in conflict herewith are, to the extent of such conflict, hereby repealed.</w:t>
      </w:r>
    </w:p>
    <w:p w14:paraId="26744D50" w14:textId="77777777" w:rsidR="00316CE6" w:rsidRPr="00BB4E95" w:rsidRDefault="00316CE6" w:rsidP="00316CE6">
      <w:pPr>
        <w:rPr>
          <w:b/>
          <w:bCs/>
          <w:sz w:val="24"/>
          <w:szCs w:val="24"/>
        </w:rPr>
      </w:pPr>
    </w:p>
    <w:p w14:paraId="56C6BCA5" w14:textId="6BA52D6F" w:rsidR="0027265E" w:rsidRPr="00BB4E95" w:rsidRDefault="00316CE6" w:rsidP="00DA3CF7">
      <w:pPr>
        <w:ind w:firstLine="720"/>
        <w:rPr>
          <w:sz w:val="24"/>
          <w:szCs w:val="24"/>
        </w:rPr>
      </w:pPr>
      <w:bookmarkStart w:id="3" w:name="_Hlk116315002"/>
      <w:r w:rsidRPr="00BB4E95">
        <w:rPr>
          <w:b/>
          <w:bCs/>
          <w:sz w:val="24"/>
          <w:szCs w:val="24"/>
          <w:u w:val="single"/>
        </w:rPr>
        <w:t xml:space="preserve">Section </w:t>
      </w:r>
      <w:r w:rsidR="00BB4E95" w:rsidRPr="00BB4E95">
        <w:rPr>
          <w:b/>
          <w:bCs/>
          <w:sz w:val="24"/>
          <w:szCs w:val="24"/>
          <w:u w:val="single"/>
        </w:rPr>
        <w:t>5</w:t>
      </w:r>
      <w:r w:rsidRPr="00BB4E95">
        <w:rPr>
          <w:b/>
          <w:bCs/>
          <w:sz w:val="24"/>
          <w:szCs w:val="24"/>
          <w:u w:val="single"/>
        </w:rPr>
        <w:t>.</w:t>
      </w:r>
      <w:r w:rsidRPr="00BB4E95">
        <w:rPr>
          <w:b/>
          <w:bCs/>
          <w:sz w:val="24"/>
          <w:szCs w:val="24"/>
        </w:rPr>
        <w:t xml:space="preserve"> </w:t>
      </w:r>
      <w:r w:rsidRPr="00BB4E95">
        <w:rPr>
          <w:sz w:val="24"/>
          <w:szCs w:val="24"/>
        </w:rPr>
        <w:t xml:space="preserve"> </w:t>
      </w:r>
      <w:r w:rsidRPr="00BB4E95">
        <w:rPr>
          <w:b/>
          <w:bCs/>
          <w:sz w:val="24"/>
          <w:szCs w:val="24"/>
        </w:rPr>
        <w:t>Effective Date.</w:t>
      </w:r>
      <w:r w:rsidR="003172E6" w:rsidRPr="00BB4E95">
        <w:rPr>
          <w:b/>
          <w:sz w:val="24"/>
          <w:szCs w:val="24"/>
        </w:rPr>
        <w:t xml:space="preserve"> </w:t>
      </w:r>
      <w:r w:rsidR="0027265E" w:rsidRPr="00BB4E95">
        <w:rPr>
          <w:sz w:val="24"/>
          <w:szCs w:val="24"/>
        </w:rPr>
        <w:t xml:space="preserve">This ordinance shall become effective upon adoption. The effective date of this plan amendment shall be the date a final order is issued by the </w:t>
      </w:r>
      <w:r w:rsidR="007E698A">
        <w:rPr>
          <w:sz w:val="24"/>
          <w:szCs w:val="24"/>
        </w:rPr>
        <w:t>FDOC</w:t>
      </w:r>
      <w:r w:rsidR="0027265E" w:rsidRPr="00BB4E95">
        <w:rPr>
          <w:sz w:val="24"/>
          <w:szCs w:val="24"/>
        </w:rPr>
        <w:t xml:space="preserve"> or Administration Commission finding the amendment in compliance in accordance with Section 163.3184, Florida Statutes, whichever occurs earlier. No development orders, development permits or land uses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Department of Economic Opportunity, Division of Community Planning and Development, 107 East Madison Street, MSC-160, Tallahassee, FL 32399-4120.</w:t>
      </w:r>
    </w:p>
    <w:bookmarkEnd w:id="3"/>
    <w:p w14:paraId="213FE3D4" w14:textId="77777777" w:rsidR="00316CE6" w:rsidRPr="00BB4E95" w:rsidRDefault="00316CE6" w:rsidP="00316CE6">
      <w:pPr>
        <w:rPr>
          <w:sz w:val="24"/>
          <w:szCs w:val="24"/>
        </w:rPr>
      </w:pPr>
    </w:p>
    <w:p w14:paraId="2B140659" w14:textId="04186D75" w:rsidR="00316CE6" w:rsidRDefault="00316CE6" w:rsidP="00DA3CF7">
      <w:pPr>
        <w:ind w:firstLine="720"/>
        <w:rPr>
          <w:sz w:val="24"/>
          <w:szCs w:val="24"/>
        </w:rPr>
      </w:pPr>
      <w:r w:rsidRPr="00BB4E95">
        <w:rPr>
          <w:sz w:val="24"/>
          <w:szCs w:val="24"/>
          <w:u w:val="single"/>
        </w:rPr>
        <w:t>S</w:t>
      </w:r>
      <w:r w:rsidRPr="00BB4E95">
        <w:rPr>
          <w:b/>
          <w:bCs/>
          <w:sz w:val="24"/>
          <w:szCs w:val="24"/>
          <w:u w:val="single"/>
        </w:rPr>
        <w:t xml:space="preserve">ection </w:t>
      </w:r>
      <w:r w:rsidR="00BB4E95" w:rsidRPr="00BB4E95">
        <w:rPr>
          <w:b/>
          <w:bCs/>
          <w:sz w:val="24"/>
          <w:szCs w:val="24"/>
          <w:u w:val="single"/>
        </w:rPr>
        <w:t>6</w:t>
      </w:r>
      <w:r w:rsidRPr="00BB4E95">
        <w:rPr>
          <w:b/>
          <w:bCs/>
          <w:sz w:val="24"/>
          <w:szCs w:val="24"/>
          <w:u w:val="single"/>
        </w:rPr>
        <w:t>.</w:t>
      </w:r>
      <w:r w:rsidR="003172E6" w:rsidRPr="00BB4E95">
        <w:rPr>
          <w:b/>
          <w:sz w:val="24"/>
          <w:szCs w:val="24"/>
        </w:rPr>
        <w:t xml:space="preserve"> </w:t>
      </w:r>
      <w:r w:rsidRPr="00BB4E95">
        <w:rPr>
          <w:b/>
          <w:bCs/>
          <w:sz w:val="24"/>
          <w:szCs w:val="24"/>
        </w:rPr>
        <w:t>Authority.</w:t>
      </w:r>
      <w:r w:rsidR="003172E6" w:rsidRPr="00BB4E95">
        <w:rPr>
          <w:b/>
          <w:sz w:val="24"/>
          <w:szCs w:val="24"/>
        </w:rPr>
        <w:t xml:space="preserve"> </w:t>
      </w:r>
      <w:r w:rsidRPr="00BB4E95">
        <w:rPr>
          <w:sz w:val="24"/>
          <w:szCs w:val="24"/>
        </w:rPr>
        <w:t>This Ordinance is adopted pursuant to the authority granted by Section 166.021 and Sections 163.3161 through 163.3215, Florida Statutes.</w:t>
      </w:r>
    </w:p>
    <w:p w14:paraId="0D8C4C6F" w14:textId="77777777" w:rsidR="004A45E2" w:rsidRDefault="004A45E2" w:rsidP="00DA3CF7">
      <w:pPr>
        <w:ind w:firstLine="720"/>
        <w:rPr>
          <w:sz w:val="24"/>
          <w:szCs w:val="24"/>
        </w:rPr>
      </w:pPr>
    </w:p>
    <w:p w14:paraId="3E023120" w14:textId="01A9A7AA" w:rsidR="004A45E2" w:rsidRDefault="004A45E2" w:rsidP="00DA3CF7">
      <w:pPr>
        <w:ind w:firstLine="720"/>
        <w:rPr>
          <w:sz w:val="24"/>
          <w:szCs w:val="24"/>
        </w:rPr>
      </w:pPr>
      <w:r w:rsidRPr="004A45E2">
        <w:rPr>
          <w:b/>
          <w:bCs/>
          <w:sz w:val="24"/>
          <w:szCs w:val="24"/>
        </w:rPr>
        <w:t>DONE, THE FIRST READING,</w:t>
      </w:r>
      <w:r>
        <w:rPr>
          <w:sz w:val="24"/>
          <w:szCs w:val="24"/>
        </w:rPr>
        <w:t xml:space="preserve"> by the City Commission of the City of Newberry, Florida, at a regular </w:t>
      </w:r>
      <w:proofErr w:type="gramStart"/>
      <w:r>
        <w:rPr>
          <w:sz w:val="24"/>
          <w:szCs w:val="24"/>
        </w:rPr>
        <w:t>meeting</w:t>
      </w:r>
      <w:proofErr w:type="gramEnd"/>
      <w:r>
        <w:rPr>
          <w:sz w:val="24"/>
          <w:szCs w:val="24"/>
        </w:rPr>
        <w:t xml:space="preserve"> the 14</w:t>
      </w:r>
      <w:r w:rsidRPr="004A45E2">
        <w:rPr>
          <w:sz w:val="24"/>
          <w:szCs w:val="24"/>
          <w:vertAlign w:val="superscript"/>
        </w:rPr>
        <w:t>th</w:t>
      </w:r>
      <w:r>
        <w:rPr>
          <w:sz w:val="24"/>
          <w:szCs w:val="24"/>
        </w:rPr>
        <w:t xml:space="preserve"> day of </w:t>
      </w:r>
      <w:proofErr w:type="gramStart"/>
      <w:r>
        <w:rPr>
          <w:sz w:val="24"/>
          <w:szCs w:val="24"/>
        </w:rPr>
        <w:t>October,</w:t>
      </w:r>
      <w:proofErr w:type="gramEnd"/>
      <w:r>
        <w:rPr>
          <w:sz w:val="24"/>
          <w:szCs w:val="24"/>
        </w:rPr>
        <w:t xml:space="preserve"> 2024.</w:t>
      </w:r>
    </w:p>
    <w:p w14:paraId="06EC57F6" w14:textId="77777777" w:rsidR="00BB4E95" w:rsidRDefault="00BB4E95" w:rsidP="00DA3CF7">
      <w:pPr>
        <w:ind w:firstLine="720"/>
        <w:rPr>
          <w:sz w:val="24"/>
          <w:szCs w:val="24"/>
        </w:rPr>
      </w:pPr>
    </w:p>
    <w:p w14:paraId="2A4EA6AE" w14:textId="1B562AE4" w:rsidR="00BB4E95" w:rsidRPr="00BB4E95" w:rsidRDefault="00BB4E95" w:rsidP="00BB4E95">
      <w:pPr>
        <w:jc w:val="center"/>
        <w:rPr>
          <w:sz w:val="24"/>
          <w:szCs w:val="24"/>
        </w:rPr>
      </w:pPr>
      <w:r>
        <w:rPr>
          <w:sz w:val="24"/>
          <w:szCs w:val="24"/>
        </w:rPr>
        <w:t>[REMAINDER OF THIS PAGE INTENTIONALLY LEFT BLANK.]</w:t>
      </w:r>
    </w:p>
    <w:p w14:paraId="3A443F00" w14:textId="53B82253" w:rsidR="00BB4E95" w:rsidRDefault="00BB4E95">
      <w:pPr>
        <w:autoSpaceDE/>
        <w:autoSpaceDN/>
        <w:adjustRightInd/>
        <w:rPr>
          <w:sz w:val="24"/>
          <w:szCs w:val="24"/>
          <w:highlight w:val="yellow"/>
        </w:rPr>
      </w:pPr>
      <w:r>
        <w:rPr>
          <w:sz w:val="24"/>
          <w:szCs w:val="24"/>
          <w:highlight w:val="yellow"/>
        </w:rPr>
        <w:br w:type="page"/>
      </w:r>
    </w:p>
    <w:p w14:paraId="35571E1C" w14:textId="3795ACBC" w:rsidR="0027263F" w:rsidRPr="00BB4E95" w:rsidRDefault="0027263F" w:rsidP="00DA3CF7">
      <w:pPr>
        <w:ind w:firstLine="720"/>
        <w:rPr>
          <w:sz w:val="24"/>
          <w:szCs w:val="24"/>
        </w:rPr>
      </w:pPr>
      <w:r w:rsidRPr="00BB4E95">
        <w:rPr>
          <w:b/>
          <w:sz w:val="24"/>
          <w:szCs w:val="24"/>
        </w:rPr>
        <w:lastRenderedPageBreak/>
        <w:t xml:space="preserve">DONE, THE PUBLIC NOTICE, </w:t>
      </w:r>
      <w:r w:rsidRPr="00BB4E95">
        <w:rPr>
          <w:sz w:val="24"/>
          <w:szCs w:val="24"/>
        </w:rPr>
        <w:t>in a newspaper of general circulation in the C</w:t>
      </w:r>
      <w:r w:rsidRPr="004A45E2">
        <w:rPr>
          <w:sz w:val="24"/>
          <w:szCs w:val="24"/>
        </w:rPr>
        <w:t xml:space="preserve">ity of Newberry, Florida, by the City Clerk of the City of Newberry, Florida on the </w:t>
      </w:r>
      <w:r w:rsidR="004A45E2" w:rsidRPr="004A45E2">
        <w:rPr>
          <w:sz w:val="24"/>
          <w:szCs w:val="24"/>
        </w:rPr>
        <w:t>10</w:t>
      </w:r>
      <w:r w:rsidR="004A45E2" w:rsidRPr="004A45E2">
        <w:rPr>
          <w:sz w:val="24"/>
          <w:szCs w:val="24"/>
          <w:vertAlign w:val="superscript"/>
        </w:rPr>
        <w:t>th</w:t>
      </w:r>
      <w:r w:rsidR="004A45E2" w:rsidRPr="004A45E2">
        <w:rPr>
          <w:sz w:val="24"/>
          <w:szCs w:val="24"/>
        </w:rPr>
        <w:t xml:space="preserve"> day of </w:t>
      </w:r>
      <w:proofErr w:type="gramStart"/>
      <w:r w:rsidR="004A45E2" w:rsidRPr="004A45E2">
        <w:rPr>
          <w:sz w:val="24"/>
          <w:szCs w:val="24"/>
        </w:rPr>
        <w:t>October,</w:t>
      </w:r>
      <w:proofErr w:type="gramEnd"/>
      <w:r w:rsidRPr="004A45E2">
        <w:rPr>
          <w:sz w:val="24"/>
          <w:szCs w:val="24"/>
        </w:rPr>
        <w:t xml:space="preserve"> 20</w:t>
      </w:r>
      <w:r w:rsidR="00472129" w:rsidRPr="004A45E2">
        <w:rPr>
          <w:sz w:val="24"/>
          <w:szCs w:val="24"/>
        </w:rPr>
        <w:t>2</w:t>
      </w:r>
      <w:r w:rsidR="00BB4E95" w:rsidRPr="004A45E2">
        <w:rPr>
          <w:sz w:val="24"/>
          <w:szCs w:val="24"/>
        </w:rPr>
        <w:t>4</w:t>
      </w:r>
      <w:r w:rsidRPr="004A45E2">
        <w:rPr>
          <w:sz w:val="24"/>
          <w:szCs w:val="24"/>
        </w:rPr>
        <w:t>.</w:t>
      </w:r>
    </w:p>
    <w:p w14:paraId="6A2AEB1E" w14:textId="77777777" w:rsidR="0027263F" w:rsidRPr="00BB4E95" w:rsidRDefault="0027263F" w:rsidP="0027263F">
      <w:pPr>
        <w:rPr>
          <w:sz w:val="24"/>
          <w:szCs w:val="24"/>
        </w:rPr>
      </w:pPr>
    </w:p>
    <w:p w14:paraId="0B8ABAAA" w14:textId="7C911D54" w:rsidR="0027263F" w:rsidRPr="00BB4E95" w:rsidRDefault="0027263F" w:rsidP="004A45E2">
      <w:pPr>
        <w:ind w:firstLine="720"/>
        <w:rPr>
          <w:b/>
          <w:sz w:val="24"/>
          <w:szCs w:val="24"/>
        </w:rPr>
      </w:pPr>
      <w:r w:rsidRPr="00BB4E95">
        <w:rPr>
          <w:b/>
          <w:sz w:val="24"/>
          <w:szCs w:val="24"/>
        </w:rPr>
        <w:t xml:space="preserve">DONE THE SECOND READING, AND ADOPTED ON FINAL PASSAGE, </w:t>
      </w:r>
      <w:r w:rsidRPr="00BB4E95">
        <w:rPr>
          <w:sz w:val="24"/>
          <w:szCs w:val="24"/>
        </w:rPr>
        <w:t xml:space="preserve">by an affirmative vote of a majority of a quorum present of the City Commission of the City of Newberry, Florida, at a regular meeting, </w:t>
      </w:r>
      <w:r w:rsidRPr="004A45E2">
        <w:rPr>
          <w:sz w:val="24"/>
          <w:szCs w:val="24"/>
        </w:rPr>
        <w:t xml:space="preserve">this </w:t>
      </w:r>
      <w:r w:rsidR="004A45E2" w:rsidRPr="004A45E2">
        <w:rPr>
          <w:sz w:val="24"/>
          <w:szCs w:val="24"/>
        </w:rPr>
        <w:t>28</w:t>
      </w:r>
      <w:r w:rsidR="00BB4E95" w:rsidRPr="004A45E2">
        <w:rPr>
          <w:sz w:val="24"/>
          <w:szCs w:val="24"/>
        </w:rPr>
        <w:t>th</w:t>
      </w:r>
      <w:r w:rsidRPr="004A45E2">
        <w:rPr>
          <w:sz w:val="24"/>
          <w:szCs w:val="24"/>
        </w:rPr>
        <w:t xml:space="preserve"> day of </w:t>
      </w:r>
      <w:proofErr w:type="gramStart"/>
      <w:r w:rsidR="004656BF" w:rsidRPr="004A45E2">
        <w:rPr>
          <w:sz w:val="24"/>
          <w:szCs w:val="24"/>
        </w:rPr>
        <w:t>October</w:t>
      </w:r>
      <w:r w:rsidRPr="004A45E2">
        <w:rPr>
          <w:sz w:val="24"/>
          <w:szCs w:val="24"/>
        </w:rPr>
        <w:t>,</w:t>
      </w:r>
      <w:proofErr w:type="gramEnd"/>
      <w:r w:rsidRPr="004A45E2">
        <w:rPr>
          <w:sz w:val="24"/>
          <w:szCs w:val="24"/>
        </w:rPr>
        <w:t xml:space="preserve"> 20</w:t>
      </w:r>
      <w:r w:rsidR="00BB4E95" w:rsidRPr="004A45E2">
        <w:rPr>
          <w:sz w:val="24"/>
          <w:szCs w:val="24"/>
        </w:rPr>
        <w:t>24</w:t>
      </w:r>
      <w:r w:rsidRPr="004A45E2">
        <w:rPr>
          <w:sz w:val="24"/>
          <w:szCs w:val="24"/>
        </w:rPr>
        <w:t>.</w:t>
      </w:r>
    </w:p>
    <w:p w14:paraId="6427BA49" w14:textId="77777777" w:rsidR="0027263F" w:rsidRPr="00BB4E95" w:rsidRDefault="0027263F" w:rsidP="0027263F">
      <w:pPr>
        <w:rPr>
          <w:b/>
          <w:sz w:val="24"/>
          <w:szCs w:val="24"/>
        </w:rPr>
      </w:pPr>
    </w:p>
    <w:p w14:paraId="63227B01" w14:textId="77777777" w:rsidR="0027263F" w:rsidRPr="00BB4E95" w:rsidRDefault="0027263F" w:rsidP="0027263F">
      <w:pPr>
        <w:rPr>
          <w:sz w:val="24"/>
          <w:szCs w:val="24"/>
        </w:rPr>
      </w:pPr>
      <w:r w:rsidRPr="00BB4E95">
        <w:rPr>
          <w:sz w:val="24"/>
          <w:szCs w:val="24"/>
        </w:rPr>
        <w:t>BY THE MAYOR OF THE CITY OF NEWBERRY, FLORIDA</w:t>
      </w:r>
    </w:p>
    <w:p w14:paraId="3CD5B233" w14:textId="77777777" w:rsidR="0027263F" w:rsidRPr="00BB4E95" w:rsidRDefault="0027263F" w:rsidP="0027263F">
      <w:pPr>
        <w:rPr>
          <w:sz w:val="24"/>
          <w:szCs w:val="24"/>
        </w:rPr>
      </w:pPr>
      <w:r w:rsidRPr="00BB4E95">
        <w:rPr>
          <w:sz w:val="24"/>
          <w:szCs w:val="24"/>
        </w:rPr>
        <w:tab/>
      </w:r>
      <w:r w:rsidRPr="00BB4E95">
        <w:rPr>
          <w:sz w:val="24"/>
          <w:szCs w:val="24"/>
        </w:rPr>
        <w:tab/>
        <w:t xml:space="preserve"> </w:t>
      </w:r>
    </w:p>
    <w:p w14:paraId="6D222A63" w14:textId="77777777" w:rsidR="0027263F" w:rsidRPr="00BB4E95" w:rsidRDefault="0027263F" w:rsidP="0027263F">
      <w:pPr>
        <w:rPr>
          <w:sz w:val="24"/>
          <w:szCs w:val="24"/>
        </w:rPr>
      </w:pPr>
      <w:r w:rsidRPr="00BB4E95">
        <w:rPr>
          <w:sz w:val="24"/>
          <w:szCs w:val="24"/>
        </w:rPr>
        <w:tab/>
      </w:r>
      <w:r w:rsidRPr="00BB4E95">
        <w:rPr>
          <w:sz w:val="24"/>
          <w:szCs w:val="24"/>
        </w:rPr>
        <w:tab/>
      </w:r>
      <w:r w:rsidRPr="00BB4E95">
        <w:rPr>
          <w:sz w:val="24"/>
          <w:szCs w:val="24"/>
        </w:rPr>
        <w:tab/>
      </w:r>
      <w:r w:rsidRPr="00BB4E95">
        <w:rPr>
          <w:sz w:val="24"/>
          <w:szCs w:val="24"/>
        </w:rPr>
        <w:tab/>
      </w:r>
      <w:r w:rsidRPr="00BB4E95">
        <w:rPr>
          <w:sz w:val="24"/>
          <w:szCs w:val="24"/>
        </w:rPr>
        <w:tab/>
      </w:r>
      <w:r w:rsidRPr="00BB4E95">
        <w:rPr>
          <w:sz w:val="24"/>
          <w:szCs w:val="24"/>
        </w:rPr>
        <w:tab/>
      </w:r>
    </w:p>
    <w:p w14:paraId="52C10C54" w14:textId="77777777" w:rsidR="0027263F" w:rsidRPr="00BB4E95" w:rsidRDefault="0027263F" w:rsidP="0027263F">
      <w:pPr>
        <w:rPr>
          <w:sz w:val="24"/>
          <w:szCs w:val="24"/>
        </w:rPr>
      </w:pPr>
      <w:r w:rsidRPr="00BB4E95">
        <w:rPr>
          <w:sz w:val="24"/>
          <w:szCs w:val="24"/>
        </w:rPr>
        <w:tab/>
      </w:r>
      <w:r w:rsidRPr="00BB4E95">
        <w:rPr>
          <w:sz w:val="24"/>
          <w:szCs w:val="24"/>
        </w:rPr>
        <w:tab/>
      </w:r>
      <w:r w:rsidRPr="00BB4E95">
        <w:rPr>
          <w:sz w:val="24"/>
          <w:szCs w:val="24"/>
        </w:rPr>
        <w:tab/>
      </w:r>
      <w:r w:rsidRPr="00BB4E95">
        <w:rPr>
          <w:sz w:val="24"/>
          <w:szCs w:val="24"/>
        </w:rPr>
        <w:tab/>
      </w:r>
      <w:r w:rsidRPr="00BB4E95">
        <w:rPr>
          <w:sz w:val="24"/>
          <w:szCs w:val="24"/>
        </w:rPr>
        <w:tab/>
      </w:r>
      <w:r w:rsidRPr="00BB4E95">
        <w:rPr>
          <w:sz w:val="24"/>
          <w:szCs w:val="24"/>
        </w:rPr>
        <w:tab/>
        <w:t>____________________________________</w:t>
      </w:r>
      <w:r w:rsidRPr="00BB4E95">
        <w:rPr>
          <w:sz w:val="24"/>
          <w:szCs w:val="24"/>
        </w:rPr>
        <w:tab/>
      </w:r>
      <w:r w:rsidRPr="00BB4E95">
        <w:rPr>
          <w:sz w:val="24"/>
          <w:szCs w:val="24"/>
        </w:rPr>
        <w:tab/>
      </w:r>
      <w:r w:rsidRPr="00BB4E95">
        <w:rPr>
          <w:sz w:val="24"/>
          <w:szCs w:val="24"/>
        </w:rPr>
        <w:tab/>
      </w:r>
      <w:r w:rsidRPr="00BB4E95">
        <w:rPr>
          <w:sz w:val="24"/>
          <w:szCs w:val="24"/>
        </w:rPr>
        <w:tab/>
      </w:r>
      <w:r w:rsidRPr="00BB4E95">
        <w:rPr>
          <w:sz w:val="24"/>
          <w:szCs w:val="24"/>
        </w:rPr>
        <w:tab/>
      </w:r>
      <w:r w:rsidRPr="00BB4E95">
        <w:rPr>
          <w:sz w:val="24"/>
          <w:szCs w:val="24"/>
        </w:rPr>
        <w:tab/>
      </w:r>
      <w:r w:rsidRPr="00BB4E95">
        <w:rPr>
          <w:sz w:val="24"/>
          <w:szCs w:val="24"/>
        </w:rPr>
        <w:tab/>
      </w:r>
      <w:r w:rsidR="00C52256" w:rsidRPr="00BB4E95">
        <w:rPr>
          <w:sz w:val="24"/>
          <w:szCs w:val="24"/>
        </w:rPr>
        <w:tab/>
      </w:r>
      <w:r w:rsidRPr="00BB4E95">
        <w:rPr>
          <w:sz w:val="24"/>
          <w:szCs w:val="24"/>
        </w:rPr>
        <w:t>Honorable Jordan Marlowe, Mayor</w:t>
      </w:r>
    </w:p>
    <w:p w14:paraId="5302CFCD" w14:textId="77777777" w:rsidR="0027263F" w:rsidRPr="00BB4E95" w:rsidRDefault="0027263F" w:rsidP="0027263F">
      <w:pPr>
        <w:rPr>
          <w:sz w:val="24"/>
          <w:szCs w:val="24"/>
        </w:rPr>
      </w:pPr>
    </w:p>
    <w:p w14:paraId="2DEACAC8" w14:textId="77777777" w:rsidR="00C52256" w:rsidRPr="00BB4E95" w:rsidRDefault="00C52256" w:rsidP="0027263F">
      <w:pPr>
        <w:rPr>
          <w:sz w:val="24"/>
          <w:szCs w:val="24"/>
        </w:rPr>
      </w:pPr>
    </w:p>
    <w:p w14:paraId="2372364C" w14:textId="77777777" w:rsidR="0027263F" w:rsidRPr="00BB4E95" w:rsidRDefault="0027263F" w:rsidP="0027263F">
      <w:pPr>
        <w:rPr>
          <w:sz w:val="24"/>
          <w:szCs w:val="24"/>
        </w:rPr>
      </w:pPr>
      <w:r w:rsidRPr="00BB4E95">
        <w:rPr>
          <w:sz w:val="24"/>
          <w:szCs w:val="24"/>
        </w:rPr>
        <w:t>ATTEST, BY THE CLERK OF THE</w:t>
      </w:r>
    </w:p>
    <w:p w14:paraId="6F99BAB4" w14:textId="77777777" w:rsidR="0027263F" w:rsidRPr="00BB4E95" w:rsidRDefault="0027263F" w:rsidP="0027263F">
      <w:pPr>
        <w:rPr>
          <w:sz w:val="24"/>
          <w:szCs w:val="24"/>
        </w:rPr>
      </w:pPr>
      <w:r w:rsidRPr="00BB4E95">
        <w:rPr>
          <w:sz w:val="24"/>
          <w:szCs w:val="24"/>
        </w:rPr>
        <w:t>CITY COMMISSION OF THE CITY OF</w:t>
      </w:r>
    </w:p>
    <w:p w14:paraId="779C74F6" w14:textId="77777777" w:rsidR="0027263F" w:rsidRPr="00BB4E95" w:rsidRDefault="0027263F" w:rsidP="0027263F">
      <w:pPr>
        <w:rPr>
          <w:sz w:val="24"/>
          <w:szCs w:val="24"/>
        </w:rPr>
      </w:pPr>
      <w:r w:rsidRPr="00BB4E95">
        <w:rPr>
          <w:sz w:val="24"/>
          <w:szCs w:val="24"/>
        </w:rPr>
        <w:t>NEWBERRY, FLORIDA:</w:t>
      </w:r>
    </w:p>
    <w:p w14:paraId="483FFF06" w14:textId="77777777" w:rsidR="0027263F" w:rsidRPr="00BB4E95" w:rsidRDefault="0027263F" w:rsidP="0027263F">
      <w:pPr>
        <w:rPr>
          <w:sz w:val="24"/>
          <w:szCs w:val="24"/>
        </w:rPr>
      </w:pPr>
    </w:p>
    <w:p w14:paraId="5A27542E" w14:textId="77777777" w:rsidR="0027263F" w:rsidRPr="00BB4E95" w:rsidRDefault="0027263F" w:rsidP="0027263F">
      <w:pPr>
        <w:rPr>
          <w:sz w:val="24"/>
          <w:szCs w:val="24"/>
        </w:rPr>
      </w:pPr>
    </w:p>
    <w:p w14:paraId="31D56219" w14:textId="77777777" w:rsidR="0027263F" w:rsidRPr="00BB4E95" w:rsidRDefault="0027263F" w:rsidP="0027263F">
      <w:pPr>
        <w:rPr>
          <w:sz w:val="24"/>
          <w:szCs w:val="24"/>
        </w:rPr>
      </w:pPr>
      <w:r w:rsidRPr="00BB4E95">
        <w:rPr>
          <w:sz w:val="24"/>
          <w:szCs w:val="24"/>
        </w:rPr>
        <w:t>____________________________</w:t>
      </w:r>
      <w:r w:rsidRPr="00BB4E95">
        <w:rPr>
          <w:sz w:val="24"/>
          <w:szCs w:val="24"/>
        </w:rPr>
        <w:tab/>
      </w:r>
    </w:p>
    <w:p w14:paraId="62211672" w14:textId="77777777" w:rsidR="0027263F" w:rsidRPr="00BB4E95" w:rsidRDefault="0027263F" w:rsidP="0027263F">
      <w:pPr>
        <w:rPr>
          <w:sz w:val="24"/>
          <w:szCs w:val="24"/>
        </w:rPr>
      </w:pPr>
      <w:r w:rsidRPr="00BB4E95">
        <w:rPr>
          <w:sz w:val="24"/>
          <w:szCs w:val="24"/>
        </w:rPr>
        <w:t>Judy S. Rice, City Clerk</w:t>
      </w:r>
    </w:p>
    <w:p w14:paraId="2A670A8D" w14:textId="77777777" w:rsidR="0027263F" w:rsidRPr="00BB4E95" w:rsidRDefault="0027263F" w:rsidP="0027263F">
      <w:pPr>
        <w:rPr>
          <w:sz w:val="24"/>
          <w:szCs w:val="24"/>
        </w:rPr>
      </w:pPr>
    </w:p>
    <w:p w14:paraId="4E0C95B8" w14:textId="77777777" w:rsidR="0027263F" w:rsidRPr="00BB4E95" w:rsidRDefault="0027263F" w:rsidP="0027263F">
      <w:pPr>
        <w:rPr>
          <w:sz w:val="24"/>
          <w:szCs w:val="24"/>
        </w:rPr>
      </w:pPr>
      <w:r w:rsidRPr="00BB4E95">
        <w:rPr>
          <w:sz w:val="24"/>
          <w:szCs w:val="24"/>
        </w:rPr>
        <w:t>APPROVED AS TO FORM AND LEGALITY:</w:t>
      </w:r>
    </w:p>
    <w:p w14:paraId="53D88D28" w14:textId="77777777" w:rsidR="0027263F" w:rsidRPr="00BB4E95" w:rsidRDefault="0027263F" w:rsidP="0027263F">
      <w:pPr>
        <w:rPr>
          <w:sz w:val="24"/>
          <w:szCs w:val="24"/>
        </w:rPr>
      </w:pPr>
    </w:p>
    <w:p w14:paraId="35AC2527" w14:textId="77777777" w:rsidR="0027263F" w:rsidRPr="00BB4E95" w:rsidRDefault="0027263F" w:rsidP="0027263F">
      <w:pPr>
        <w:rPr>
          <w:sz w:val="24"/>
          <w:szCs w:val="24"/>
        </w:rPr>
      </w:pPr>
    </w:p>
    <w:p w14:paraId="281A190B" w14:textId="77777777" w:rsidR="0027263F" w:rsidRPr="00BB4E95" w:rsidRDefault="0027263F" w:rsidP="0027263F">
      <w:pPr>
        <w:rPr>
          <w:sz w:val="24"/>
          <w:szCs w:val="24"/>
        </w:rPr>
      </w:pPr>
      <w:r w:rsidRPr="00BB4E95">
        <w:rPr>
          <w:sz w:val="24"/>
          <w:szCs w:val="24"/>
        </w:rPr>
        <w:t>____________________________</w:t>
      </w:r>
    </w:p>
    <w:p w14:paraId="0C3F869A" w14:textId="7B51C7E1" w:rsidR="00316CE6" w:rsidRPr="00BB4E95" w:rsidRDefault="0027263F" w:rsidP="0027263F">
      <w:pPr>
        <w:rPr>
          <w:sz w:val="24"/>
          <w:szCs w:val="24"/>
        </w:rPr>
      </w:pPr>
      <w:r w:rsidRPr="00BB4E95">
        <w:rPr>
          <w:sz w:val="24"/>
          <w:szCs w:val="24"/>
        </w:rPr>
        <w:t>City Attorney</w:t>
      </w:r>
      <w:r w:rsidR="00472129" w:rsidRPr="00BB4E95">
        <w:rPr>
          <w:sz w:val="24"/>
          <w:szCs w:val="24"/>
        </w:rPr>
        <w:t>’s Office</w:t>
      </w:r>
    </w:p>
    <w:p w14:paraId="362CEFEB" w14:textId="74FCD0A7" w:rsidR="001C526C" w:rsidRPr="00BB4E95" w:rsidRDefault="001C526C">
      <w:pPr>
        <w:autoSpaceDE/>
        <w:autoSpaceDN/>
        <w:adjustRightInd/>
        <w:rPr>
          <w:sz w:val="24"/>
          <w:szCs w:val="24"/>
        </w:rPr>
      </w:pPr>
      <w:r w:rsidRPr="00BB4E95">
        <w:rPr>
          <w:sz w:val="24"/>
          <w:szCs w:val="24"/>
        </w:rPr>
        <w:br w:type="page"/>
      </w:r>
    </w:p>
    <w:p w14:paraId="50178C8A" w14:textId="0B0DB3FC" w:rsidR="001C526C" w:rsidRPr="001C526C" w:rsidRDefault="001C526C" w:rsidP="001C526C">
      <w:pPr>
        <w:autoSpaceDE/>
        <w:autoSpaceDN/>
        <w:adjustRightInd/>
        <w:jc w:val="center"/>
        <w:rPr>
          <w:sz w:val="24"/>
          <w:szCs w:val="24"/>
        </w:rPr>
      </w:pPr>
    </w:p>
    <w:p w14:paraId="53EECD06" w14:textId="710AFFD1" w:rsidR="001C526C" w:rsidRPr="001C526C" w:rsidRDefault="001C526C" w:rsidP="001C526C">
      <w:pPr>
        <w:jc w:val="center"/>
        <w:rPr>
          <w:b/>
          <w:bCs/>
          <w:sz w:val="24"/>
          <w:szCs w:val="24"/>
        </w:rPr>
      </w:pPr>
      <w:r w:rsidRPr="001C526C">
        <w:rPr>
          <w:b/>
          <w:bCs/>
          <w:sz w:val="24"/>
          <w:szCs w:val="24"/>
        </w:rPr>
        <w:t>EXHIBIT “</w:t>
      </w:r>
      <w:r w:rsidR="007233EF">
        <w:rPr>
          <w:b/>
          <w:bCs/>
          <w:sz w:val="24"/>
          <w:szCs w:val="24"/>
        </w:rPr>
        <w:t>A</w:t>
      </w:r>
      <w:r w:rsidRPr="001C526C">
        <w:rPr>
          <w:b/>
          <w:bCs/>
          <w:sz w:val="24"/>
          <w:szCs w:val="24"/>
        </w:rPr>
        <w:t>”</w:t>
      </w:r>
    </w:p>
    <w:p w14:paraId="27DE5173" w14:textId="5C1AC3E8" w:rsidR="001C526C" w:rsidRPr="001C526C" w:rsidRDefault="007233EF" w:rsidP="001C526C">
      <w:pPr>
        <w:jc w:val="center"/>
        <w:rPr>
          <w:sz w:val="24"/>
          <w:szCs w:val="24"/>
        </w:rPr>
      </w:pPr>
      <w:r>
        <w:rPr>
          <w:sz w:val="24"/>
          <w:szCs w:val="24"/>
        </w:rPr>
        <w:t>PROPOSED URBAN SERVICE AREA BOUNDARY</w:t>
      </w:r>
    </w:p>
    <w:p w14:paraId="7C895CD4" w14:textId="77777777" w:rsidR="00BF7BD0" w:rsidRDefault="00BF7BD0" w:rsidP="001C526C">
      <w:pPr>
        <w:jc w:val="center"/>
        <w:rPr>
          <w:sz w:val="24"/>
          <w:szCs w:val="24"/>
        </w:rPr>
      </w:pPr>
    </w:p>
    <w:p w14:paraId="590FDF81" w14:textId="2FB125A2" w:rsidR="00BF7BD0" w:rsidRDefault="007233EF" w:rsidP="001C526C">
      <w:pPr>
        <w:jc w:val="center"/>
        <w:rPr>
          <w:sz w:val="24"/>
          <w:szCs w:val="24"/>
        </w:rPr>
      </w:pPr>
      <w:r w:rsidRPr="007233EF">
        <w:rPr>
          <w:noProof/>
          <w:sz w:val="24"/>
          <w:szCs w:val="24"/>
        </w:rPr>
        <w:drawing>
          <wp:inline distT="0" distB="0" distL="0" distR="0" wp14:anchorId="39FD742B" wp14:editId="022BA4EE">
            <wp:extent cx="5044877" cy="6104149"/>
            <wp:effectExtent l="0" t="0" r="3810" b="0"/>
            <wp:docPr id="1278854695"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54695" name="Picture 1" descr="A screenshot of a map&#10;&#10;Description automatically generated"/>
                    <pic:cNvPicPr/>
                  </pic:nvPicPr>
                  <pic:blipFill>
                    <a:blip r:embed="rId7"/>
                    <a:stretch>
                      <a:fillRect/>
                    </a:stretch>
                  </pic:blipFill>
                  <pic:spPr>
                    <a:xfrm>
                      <a:off x="0" y="0"/>
                      <a:ext cx="5044877" cy="6104149"/>
                    </a:xfrm>
                    <a:prstGeom prst="rect">
                      <a:avLst/>
                    </a:prstGeom>
                  </pic:spPr>
                </pic:pic>
              </a:graphicData>
            </a:graphic>
          </wp:inline>
        </w:drawing>
      </w:r>
    </w:p>
    <w:p w14:paraId="14461D1D" w14:textId="77777777" w:rsidR="00825A4D" w:rsidRDefault="00825A4D" w:rsidP="001C526C">
      <w:pPr>
        <w:jc w:val="center"/>
        <w:rPr>
          <w:sz w:val="24"/>
          <w:szCs w:val="24"/>
        </w:rPr>
      </w:pPr>
    </w:p>
    <w:p w14:paraId="4C1747C2" w14:textId="77777777" w:rsidR="00825A4D" w:rsidRDefault="00825A4D" w:rsidP="001C526C">
      <w:pPr>
        <w:jc w:val="center"/>
        <w:rPr>
          <w:sz w:val="24"/>
          <w:szCs w:val="24"/>
        </w:rPr>
      </w:pPr>
    </w:p>
    <w:p w14:paraId="212745C2" w14:textId="77777777" w:rsidR="007233EF" w:rsidRDefault="007233EF" w:rsidP="001C526C">
      <w:pPr>
        <w:jc w:val="center"/>
        <w:rPr>
          <w:sz w:val="24"/>
          <w:szCs w:val="24"/>
        </w:rPr>
      </w:pPr>
    </w:p>
    <w:p w14:paraId="2F284BE1" w14:textId="77777777" w:rsidR="007233EF" w:rsidRDefault="007233EF" w:rsidP="001C526C">
      <w:pPr>
        <w:jc w:val="center"/>
        <w:rPr>
          <w:sz w:val="24"/>
          <w:szCs w:val="24"/>
        </w:rPr>
      </w:pPr>
    </w:p>
    <w:p w14:paraId="1FAC8E68" w14:textId="77777777" w:rsidR="007233EF" w:rsidRDefault="007233EF" w:rsidP="001C526C">
      <w:pPr>
        <w:jc w:val="center"/>
        <w:rPr>
          <w:sz w:val="24"/>
          <w:szCs w:val="24"/>
        </w:rPr>
      </w:pPr>
    </w:p>
    <w:p w14:paraId="5D42701D" w14:textId="77777777" w:rsidR="007233EF" w:rsidRDefault="007233EF" w:rsidP="001C526C">
      <w:pPr>
        <w:jc w:val="center"/>
        <w:rPr>
          <w:sz w:val="24"/>
          <w:szCs w:val="24"/>
        </w:rPr>
      </w:pPr>
    </w:p>
    <w:p w14:paraId="530AD545" w14:textId="77777777" w:rsidR="007233EF" w:rsidRDefault="007233EF" w:rsidP="001C526C">
      <w:pPr>
        <w:jc w:val="center"/>
        <w:rPr>
          <w:sz w:val="24"/>
          <w:szCs w:val="24"/>
        </w:rPr>
      </w:pPr>
    </w:p>
    <w:p w14:paraId="04CB5CEF" w14:textId="77777777" w:rsidR="007233EF" w:rsidRDefault="007233EF" w:rsidP="001C526C">
      <w:pPr>
        <w:jc w:val="center"/>
        <w:rPr>
          <w:sz w:val="24"/>
          <w:szCs w:val="24"/>
        </w:rPr>
      </w:pPr>
    </w:p>
    <w:p w14:paraId="3C3D70BF" w14:textId="77777777" w:rsidR="007233EF" w:rsidRDefault="007233EF" w:rsidP="001C526C">
      <w:pPr>
        <w:jc w:val="center"/>
        <w:rPr>
          <w:sz w:val="24"/>
          <w:szCs w:val="24"/>
        </w:rPr>
      </w:pPr>
    </w:p>
    <w:p w14:paraId="56FE3F47" w14:textId="77777777" w:rsidR="007233EF" w:rsidRDefault="007233EF" w:rsidP="001C526C">
      <w:pPr>
        <w:jc w:val="center"/>
        <w:rPr>
          <w:sz w:val="24"/>
          <w:szCs w:val="24"/>
        </w:rPr>
      </w:pPr>
    </w:p>
    <w:p w14:paraId="196F2BB4" w14:textId="77777777" w:rsidR="00825A4D" w:rsidRDefault="00825A4D" w:rsidP="001C526C">
      <w:pPr>
        <w:jc w:val="center"/>
        <w:rPr>
          <w:sz w:val="24"/>
          <w:szCs w:val="24"/>
        </w:rPr>
      </w:pPr>
    </w:p>
    <w:p w14:paraId="7E15BF13" w14:textId="1800657C" w:rsidR="00825A4D" w:rsidRDefault="007233EF" w:rsidP="001C526C">
      <w:pPr>
        <w:autoSpaceDE/>
        <w:autoSpaceDN/>
        <w:adjustRightInd/>
        <w:jc w:val="center"/>
        <w:rPr>
          <w:noProof/>
          <w:sz w:val="24"/>
          <w:szCs w:val="24"/>
        </w:rPr>
      </w:pPr>
      <w:r>
        <w:rPr>
          <w:noProof/>
          <w:sz w:val="24"/>
          <w:szCs w:val="24"/>
        </w:rPr>
        <w:t>EXHIBIT “A” CONTINUED</w:t>
      </w:r>
    </w:p>
    <w:p w14:paraId="1AE87A81" w14:textId="77777777" w:rsidR="007233EF" w:rsidRDefault="007233EF" w:rsidP="001C526C">
      <w:pPr>
        <w:autoSpaceDE/>
        <w:autoSpaceDN/>
        <w:adjustRightInd/>
        <w:jc w:val="center"/>
        <w:rPr>
          <w:noProof/>
          <w:sz w:val="24"/>
          <w:szCs w:val="24"/>
        </w:rPr>
      </w:pPr>
    </w:p>
    <w:p w14:paraId="03915EB9" w14:textId="62227051" w:rsidR="007233EF" w:rsidRDefault="007233EF" w:rsidP="001C526C">
      <w:pPr>
        <w:autoSpaceDE/>
        <w:autoSpaceDN/>
        <w:adjustRightInd/>
        <w:jc w:val="center"/>
        <w:rPr>
          <w:noProof/>
          <w:sz w:val="24"/>
          <w:szCs w:val="24"/>
        </w:rPr>
      </w:pPr>
      <w:r>
        <w:rPr>
          <w:noProof/>
          <w:sz w:val="24"/>
          <w:szCs w:val="24"/>
        </w:rPr>
        <w:t>FUTURE LAND USE ELEMENT TEXT</w:t>
      </w:r>
    </w:p>
    <w:p w14:paraId="3763A279" w14:textId="77777777" w:rsidR="007233EF" w:rsidRDefault="007233EF" w:rsidP="001C526C">
      <w:pPr>
        <w:autoSpaceDE/>
        <w:autoSpaceDN/>
        <w:adjustRightInd/>
        <w:jc w:val="center"/>
        <w:rPr>
          <w:noProof/>
          <w:sz w:val="24"/>
          <w:szCs w:val="24"/>
        </w:rPr>
      </w:pPr>
    </w:p>
    <w:p w14:paraId="76EA9724" w14:textId="7A512DEE" w:rsidR="007233EF" w:rsidRDefault="007233EF" w:rsidP="001C526C">
      <w:pPr>
        <w:autoSpaceDE/>
        <w:autoSpaceDN/>
        <w:adjustRightInd/>
        <w:jc w:val="center"/>
        <w:rPr>
          <w:sz w:val="24"/>
          <w:szCs w:val="24"/>
        </w:rPr>
      </w:pPr>
      <w:r w:rsidRPr="007233EF">
        <w:rPr>
          <w:noProof/>
          <w:sz w:val="24"/>
          <w:szCs w:val="24"/>
        </w:rPr>
        <w:drawing>
          <wp:inline distT="0" distB="0" distL="0" distR="0" wp14:anchorId="175BED90" wp14:editId="41321648">
            <wp:extent cx="5943600" cy="4819650"/>
            <wp:effectExtent l="0" t="0" r="0" b="0"/>
            <wp:docPr id="1230923156"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23156" name="Picture 1" descr="A white text on a black background&#10;&#10;Description automatically generated"/>
                    <pic:cNvPicPr/>
                  </pic:nvPicPr>
                  <pic:blipFill>
                    <a:blip r:embed="rId8"/>
                    <a:stretch>
                      <a:fillRect/>
                    </a:stretch>
                  </pic:blipFill>
                  <pic:spPr>
                    <a:xfrm>
                      <a:off x="0" y="0"/>
                      <a:ext cx="5943600" cy="4819650"/>
                    </a:xfrm>
                    <a:prstGeom prst="rect">
                      <a:avLst/>
                    </a:prstGeom>
                  </pic:spPr>
                </pic:pic>
              </a:graphicData>
            </a:graphic>
          </wp:inline>
        </w:drawing>
      </w:r>
    </w:p>
    <w:p w14:paraId="16A46C62" w14:textId="77777777" w:rsidR="00825A4D" w:rsidRDefault="00825A4D" w:rsidP="001C526C">
      <w:pPr>
        <w:autoSpaceDE/>
        <w:autoSpaceDN/>
        <w:adjustRightInd/>
        <w:jc w:val="center"/>
        <w:rPr>
          <w:sz w:val="24"/>
          <w:szCs w:val="24"/>
        </w:rPr>
      </w:pPr>
    </w:p>
    <w:p w14:paraId="44EB2408" w14:textId="77777777" w:rsidR="00825A4D" w:rsidRDefault="00825A4D" w:rsidP="001C526C">
      <w:pPr>
        <w:autoSpaceDE/>
        <w:autoSpaceDN/>
        <w:adjustRightInd/>
        <w:jc w:val="center"/>
        <w:rPr>
          <w:sz w:val="24"/>
          <w:szCs w:val="24"/>
        </w:rPr>
      </w:pPr>
    </w:p>
    <w:p w14:paraId="15F47FEF" w14:textId="77777777" w:rsidR="00825A4D" w:rsidRDefault="00825A4D" w:rsidP="001C526C">
      <w:pPr>
        <w:autoSpaceDE/>
        <w:autoSpaceDN/>
        <w:adjustRightInd/>
        <w:jc w:val="center"/>
        <w:rPr>
          <w:sz w:val="24"/>
          <w:szCs w:val="24"/>
        </w:rPr>
      </w:pPr>
    </w:p>
    <w:sectPr w:rsidR="00825A4D" w:rsidSect="006D0648">
      <w:headerReference w:type="even" r:id="rId9"/>
      <w:headerReference w:type="default" r:id="rId10"/>
      <w:footerReference w:type="even" r:id="rId11"/>
      <w:footerReference w:type="default" r:id="rId12"/>
      <w:headerReference w:type="first" r:id="rId13"/>
      <w:footerReference w:type="first" r:id="rId14"/>
      <w:pgSz w:w="12240" w:h="15840" w:code="1"/>
      <w:pgMar w:top="99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F4C6" w14:textId="57954DD2"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14C3">
      <w:rPr>
        <w:rStyle w:val="PageNumber"/>
        <w:noProof/>
      </w:rPr>
      <w:t>9</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AF85" w14:textId="69BED0E4" w:rsidR="00A15057" w:rsidRDefault="007E698A" w:rsidP="00A13D28">
    <w:pPr>
      <w:pStyle w:val="Footer"/>
      <w:tabs>
        <w:tab w:val="clear" w:pos="4320"/>
      </w:tabs>
    </w:pPr>
    <w:r>
      <w:t>City Commission First Reading 10/14/2024</w:t>
    </w:r>
    <w:r w:rsidR="00A13D28">
      <w:tab/>
    </w:r>
    <w:r w:rsidR="00EC75C5">
      <w:t>ORDINANCE NO. 2024-35</w:t>
    </w:r>
  </w:p>
  <w:p w14:paraId="5860A41A" w14:textId="06A9BB9E" w:rsidR="00EC75C5" w:rsidRDefault="008A2188" w:rsidP="00EC75C5">
    <w:pPr>
      <w:pStyle w:val="Footer"/>
      <w:tabs>
        <w:tab w:val="clear" w:pos="4320"/>
      </w:tabs>
    </w:pPr>
    <w:r>
      <w:t xml:space="preserve">City Commission </w:t>
    </w:r>
    <w:r w:rsidR="007E698A">
      <w:t>Second Reading</w:t>
    </w:r>
    <w:r>
      <w:t xml:space="preserve"> </w:t>
    </w:r>
    <w:r w:rsidR="004656BF">
      <w:t>10</w:t>
    </w:r>
    <w:r>
      <w:t>/</w:t>
    </w:r>
    <w:r w:rsidR="007E698A">
      <w:t>28</w:t>
    </w:r>
    <w:r>
      <w:t>/</w:t>
    </w:r>
    <w:r w:rsidR="002F348B">
      <w:t>202</w:t>
    </w:r>
    <w:r w:rsidR="00214F05">
      <w:t>4</w:t>
    </w:r>
    <w:r w:rsidR="004F7A5E">
      <w:tab/>
    </w:r>
    <w:r w:rsidR="00EC75C5">
      <w:t xml:space="preserve">Page </w:t>
    </w:r>
    <w:r w:rsidR="00EC75C5">
      <w:fldChar w:fldCharType="begin"/>
    </w:r>
    <w:r w:rsidR="00EC75C5">
      <w:instrText xml:space="preserve"> PAGE   \* MERGEFORMAT </w:instrText>
    </w:r>
    <w:r w:rsidR="00EC75C5">
      <w:fldChar w:fldCharType="separate"/>
    </w:r>
    <w:r w:rsidR="00EC75C5">
      <w:t>1</w:t>
    </w:r>
    <w:r w:rsidR="00EC75C5">
      <w:fldChar w:fldCharType="end"/>
    </w:r>
    <w:r w:rsidR="00EC75C5">
      <w:t xml:space="preserve"> of </w:t>
    </w:r>
    <w:fldSimple w:instr=" NUMPAGES   \* MERGEFORMAT ">
      <w:r w:rsidR="00EC75C5">
        <w:t>6</w:t>
      </w:r>
    </w:fldSimple>
  </w:p>
  <w:p w14:paraId="72D5E98C" w14:textId="0E845B28" w:rsidR="008A2188" w:rsidRDefault="008A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AC96" w14:textId="77777777" w:rsidR="00D130A0" w:rsidRDefault="00D1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927B" w14:textId="6D33056D" w:rsidR="00D130A0" w:rsidRDefault="008406F7">
    <w:pPr>
      <w:pStyle w:val="Header"/>
    </w:pPr>
    <w:r>
      <w:rPr>
        <w:noProof/>
      </w:rPr>
      <w:pict w14:anchorId="03E46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94047" o:spid="_x0000_s36866" type="#_x0000_t136" style="position:absolute;margin-left:0;margin-top:0;width:471.3pt;height:188.5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D387" w14:textId="6CC3FD30" w:rsidR="00D130A0" w:rsidRPr="008406F7" w:rsidRDefault="00D130A0" w:rsidP="00840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5110" w14:textId="248BF148" w:rsidR="00D130A0" w:rsidRDefault="008406F7">
    <w:pPr>
      <w:pStyle w:val="Header"/>
    </w:pPr>
    <w:r>
      <w:rPr>
        <w:noProof/>
      </w:rPr>
      <w:pict w14:anchorId="71C81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94046" o:spid="_x0000_s36865" type="#_x0000_t136" style="position:absolute;margin-left:0;margin-top:0;width:471.3pt;height:188.5pt;rotation:315;z-index:-251657216;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B3E"/>
    <w:multiLevelType w:val="hybridMultilevel"/>
    <w:tmpl w:val="5330E13C"/>
    <w:lvl w:ilvl="0" w:tplc="87E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E0D46"/>
    <w:multiLevelType w:val="hybridMultilevel"/>
    <w:tmpl w:val="F2762908"/>
    <w:lvl w:ilvl="0" w:tplc="71F4FD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8196F"/>
    <w:multiLevelType w:val="multilevel"/>
    <w:tmpl w:val="1CF2F90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i w:val="0"/>
      </w:rPr>
    </w:lvl>
    <w:lvl w:ilvl="2">
      <w:start w:val="1"/>
      <w:numFmt w:val="lowerRoman"/>
      <w:lvlText w:val="%3."/>
      <w:lvlJc w:val="righ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CB82C4C"/>
    <w:multiLevelType w:val="hybridMultilevel"/>
    <w:tmpl w:val="F4086E52"/>
    <w:lvl w:ilvl="0" w:tplc="061A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A4FE2"/>
    <w:multiLevelType w:val="hybridMultilevel"/>
    <w:tmpl w:val="9D684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55090"/>
    <w:multiLevelType w:val="hybridMultilevel"/>
    <w:tmpl w:val="B1BC2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9538B6"/>
    <w:multiLevelType w:val="hybridMultilevel"/>
    <w:tmpl w:val="6F60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77AEF"/>
    <w:multiLevelType w:val="hybridMultilevel"/>
    <w:tmpl w:val="0E5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12D04"/>
    <w:multiLevelType w:val="hybridMultilevel"/>
    <w:tmpl w:val="0666DB0C"/>
    <w:lvl w:ilvl="0" w:tplc="0409000F">
      <w:start w:val="1"/>
      <w:numFmt w:val="decimal"/>
      <w:lvlText w:val="%1."/>
      <w:lvlJc w:val="left"/>
      <w:pPr>
        <w:tabs>
          <w:tab w:val="num" w:pos="1447"/>
        </w:tabs>
        <w:ind w:left="1447" w:hanging="360"/>
      </w:pPr>
    </w:lvl>
    <w:lvl w:ilvl="1" w:tplc="04090019">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9" w15:restartNumberingAfterBreak="0">
    <w:nsid w:val="35996AFE"/>
    <w:multiLevelType w:val="hybridMultilevel"/>
    <w:tmpl w:val="29E6D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C50302"/>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1" w15:restartNumberingAfterBreak="0">
    <w:nsid w:val="460E3B75"/>
    <w:multiLevelType w:val="multilevel"/>
    <w:tmpl w:val="4B02DFB6"/>
    <w:lvl w:ilvl="0">
      <w:start w:val="1"/>
      <w:numFmt w:val="decimal"/>
      <w:lvlText w:val="%1."/>
      <w:lvlJc w:val="left"/>
      <w:pPr>
        <w:tabs>
          <w:tab w:val="num" w:pos="1680"/>
        </w:tabs>
        <w:ind w:left="1680" w:hanging="960"/>
      </w:pPr>
      <w:rPr>
        <w:rFonts w:ascii="Times New Roman" w:eastAsia="Times New Roman" w:hAnsi="Times New Roman" w:cs="Times New Roman"/>
        <w:b w:val="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Letter"/>
      <w:lvlText w:val="%3."/>
      <w:lvlJc w:val="right"/>
      <w:pPr>
        <w:tabs>
          <w:tab w:val="num" w:pos="2340"/>
        </w:tabs>
        <w:ind w:left="2340" w:hanging="180"/>
      </w:pPr>
      <w:rPr>
        <w:rFonts w:hint="default"/>
        <w:b w:val="0"/>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2" w15:restartNumberingAfterBreak="0">
    <w:nsid w:val="4FF36129"/>
    <w:multiLevelType w:val="hybridMultilevel"/>
    <w:tmpl w:val="886E7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B46330"/>
    <w:multiLevelType w:val="hybridMultilevel"/>
    <w:tmpl w:val="F22AE730"/>
    <w:lvl w:ilvl="0" w:tplc="AD528FEC">
      <w:start w:val="1"/>
      <w:numFmt w:val="upp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602A9"/>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16cid:durableId="2078941517">
    <w:abstractNumId w:val="9"/>
  </w:num>
  <w:num w:numId="2" w16cid:durableId="1175850816">
    <w:abstractNumId w:val="8"/>
  </w:num>
  <w:num w:numId="3" w16cid:durableId="1337071722">
    <w:abstractNumId w:val="11"/>
  </w:num>
  <w:num w:numId="4" w16cid:durableId="1091243309">
    <w:abstractNumId w:val="13"/>
  </w:num>
  <w:num w:numId="5" w16cid:durableId="994801611">
    <w:abstractNumId w:val="0"/>
  </w:num>
  <w:num w:numId="6" w16cid:durableId="73554895">
    <w:abstractNumId w:val="1"/>
  </w:num>
  <w:num w:numId="7" w16cid:durableId="1748455388">
    <w:abstractNumId w:val="3"/>
  </w:num>
  <w:num w:numId="8" w16cid:durableId="1779642303">
    <w:abstractNumId w:val="12"/>
  </w:num>
  <w:num w:numId="9" w16cid:durableId="1774671096">
    <w:abstractNumId w:val="14"/>
  </w:num>
  <w:num w:numId="10" w16cid:durableId="137843266">
    <w:abstractNumId w:val="6"/>
  </w:num>
  <w:num w:numId="11" w16cid:durableId="1735085191">
    <w:abstractNumId w:val="2"/>
  </w:num>
  <w:num w:numId="12" w16cid:durableId="553466685">
    <w:abstractNumId w:val="10"/>
  </w:num>
  <w:num w:numId="13" w16cid:durableId="1683778382">
    <w:abstractNumId w:val="7"/>
  </w:num>
  <w:num w:numId="14" w16cid:durableId="1807507874">
    <w:abstractNumId w:val="4"/>
  </w:num>
  <w:num w:numId="15" w16cid:durableId="1576937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31808"/>
    <w:rsid w:val="00046862"/>
    <w:rsid w:val="000637C8"/>
    <w:rsid w:val="00067242"/>
    <w:rsid w:val="00083140"/>
    <w:rsid w:val="00094B94"/>
    <w:rsid w:val="00096DD0"/>
    <w:rsid w:val="000B2348"/>
    <w:rsid w:val="000B6BE3"/>
    <w:rsid w:val="000C1C8C"/>
    <w:rsid w:val="000D3267"/>
    <w:rsid w:val="000E1E51"/>
    <w:rsid w:val="000E3492"/>
    <w:rsid w:val="000F1E2E"/>
    <w:rsid w:val="000F5FE1"/>
    <w:rsid w:val="00100545"/>
    <w:rsid w:val="001070F3"/>
    <w:rsid w:val="001128C0"/>
    <w:rsid w:val="00133349"/>
    <w:rsid w:val="00145D78"/>
    <w:rsid w:val="001502C6"/>
    <w:rsid w:val="001729BE"/>
    <w:rsid w:val="00176267"/>
    <w:rsid w:val="00183F49"/>
    <w:rsid w:val="001902B5"/>
    <w:rsid w:val="00197D54"/>
    <w:rsid w:val="001A23D2"/>
    <w:rsid w:val="001A4B33"/>
    <w:rsid w:val="001B0420"/>
    <w:rsid w:val="001B523D"/>
    <w:rsid w:val="001B6A0B"/>
    <w:rsid w:val="001C526C"/>
    <w:rsid w:val="001E1C52"/>
    <w:rsid w:val="001F2C9C"/>
    <w:rsid w:val="00205188"/>
    <w:rsid w:val="00207203"/>
    <w:rsid w:val="00207561"/>
    <w:rsid w:val="0021123E"/>
    <w:rsid w:val="00211AEE"/>
    <w:rsid w:val="00214F05"/>
    <w:rsid w:val="00241BED"/>
    <w:rsid w:val="00254C7B"/>
    <w:rsid w:val="00260CF5"/>
    <w:rsid w:val="00271E0B"/>
    <w:rsid w:val="0027263F"/>
    <w:rsid w:val="0027265E"/>
    <w:rsid w:val="00273295"/>
    <w:rsid w:val="00277262"/>
    <w:rsid w:val="00285D8E"/>
    <w:rsid w:val="002A61DE"/>
    <w:rsid w:val="002C395A"/>
    <w:rsid w:val="002D127B"/>
    <w:rsid w:val="002D773B"/>
    <w:rsid w:val="002E5D1C"/>
    <w:rsid w:val="002E7FB8"/>
    <w:rsid w:val="002F0A3A"/>
    <w:rsid w:val="002F346B"/>
    <w:rsid w:val="002F348B"/>
    <w:rsid w:val="002F5D8F"/>
    <w:rsid w:val="00305BA1"/>
    <w:rsid w:val="00316CE6"/>
    <w:rsid w:val="003172E6"/>
    <w:rsid w:val="003209D8"/>
    <w:rsid w:val="00326A98"/>
    <w:rsid w:val="003400AF"/>
    <w:rsid w:val="00342917"/>
    <w:rsid w:val="00346B66"/>
    <w:rsid w:val="003474A1"/>
    <w:rsid w:val="00351382"/>
    <w:rsid w:val="003651D6"/>
    <w:rsid w:val="00382AE1"/>
    <w:rsid w:val="00384C45"/>
    <w:rsid w:val="003B5F71"/>
    <w:rsid w:val="003C3252"/>
    <w:rsid w:val="003C7188"/>
    <w:rsid w:val="003D7FB9"/>
    <w:rsid w:val="003E4912"/>
    <w:rsid w:val="003F797E"/>
    <w:rsid w:val="00401E62"/>
    <w:rsid w:val="00403FA4"/>
    <w:rsid w:val="00422666"/>
    <w:rsid w:val="00423DE7"/>
    <w:rsid w:val="00433290"/>
    <w:rsid w:val="00433790"/>
    <w:rsid w:val="00460718"/>
    <w:rsid w:val="004656BF"/>
    <w:rsid w:val="00467694"/>
    <w:rsid w:val="00471F1B"/>
    <w:rsid w:val="00472129"/>
    <w:rsid w:val="00482743"/>
    <w:rsid w:val="00491CAD"/>
    <w:rsid w:val="00494C4B"/>
    <w:rsid w:val="004A45E2"/>
    <w:rsid w:val="004A4DBF"/>
    <w:rsid w:val="004C4659"/>
    <w:rsid w:val="004C752B"/>
    <w:rsid w:val="004F7A5E"/>
    <w:rsid w:val="00520685"/>
    <w:rsid w:val="005341E5"/>
    <w:rsid w:val="00554978"/>
    <w:rsid w:val="005867D0"/>
    <w:rsid w:val="00595D11"/>
    <w:rsid w:val="005B10B8"/>
    <w:rsid w:val="005B3AAD"/>
    <w:rsid w:val="005C3EB9"/>
    <w:rsid w:val="005D639E"/>
    <w:rsid w:val="0060619D"/>
    <w:rsid w:val="0061556F"/>
    <w:rsid w:val="006203A9"/>
    <w:rsid w:val="006264F0"/>
    <w:rsid w:val="006315E2"/>
    <w:rsid w:val="00636D88"/>
    <w:rsid w:val="00641613"/>
    <w:rsid w:val="006420DB"/>
    <w:rsid w:val="0065257E"/>
    <w:rsid w:val="00657F92"/>
    <w:rsid w:val="0066117B"/>
    <w:rsid w:val="006655BA"/>
    <w:rsid w:val="006B31AE"/>
    <w:rsid w:val="006B3BE9"/>
    <w:rsid w:val="006D0648"/>
    <w:rsid w:val="006F1967"/>
    <w:rsid w:val="006F1E66"/>
    <w:rsid w:val="00701549"/>
    <w:rsid w:val="00714203"/>
    <w:rsid w:val="007233EF"/>
    <w:rsid w:val="0073371E"/>
    <w:rsid w:val="007759B0"/>
    <w:rsid w:val="00776855"/>
    <w:rsid w:val="00781CA2"/>
    <w:rsid w:val="00783EB8"/>
    <w:rsid w:val="00795737"/>
    <w:rsid w:val="007A1A76"/>
    <w:rsid w:val="007A58E2"/>
    <w:rsid w:val="007A5B8A"/>
    <w:rsid w:val="007B2EF9"/>
    <w:rsid w:val="007B6E37"/>
    <w:rsid w:val="007E698A"/>
    <w:rsid w:val="007F287C"/>
    <w:rsid w:val="007F6ABD"/>
    <w:rsid w:val="00825A4D"/>
    <w:rsid w:val="008318DF"/>
    <w:rsid w:val="00834E39"/>
    <w:rsid w:val="008406F7"/>
    <w:rsid w:val="00842D9A"/>
    <w:rsid w:val="00845F85"/>
    <w:rsid w:val="00846D16"/>
    <w:rsid w:val="0085313D"/>
    <w:rsid w:val="00854A08"/>
    <w:rsid w:val="00864F2C"/>
    <w:rsid w:val="00865383"/>
    <w:rsid w:val="008A2188"/>
    <w:rsid w:val="008A2FC4"/>
    <w:rsid w:val="008B507E"/>
    <w:rsid w:val="008C061C"/>
    <w:rsid w:val="008C5CBA"/>
    <w:rsid w:val="008D2FBC"/>
    <w:rsid w:val="008E4BEE"/>
    <w:rsid w:val="008E4E7F"/>
    <w:rsid w:val="008E7CB3"/>
    <w:rsid w:val="008F1F23"/>
    <w:rsid w:val="008F5B29"/>
    <w:rsid w:val="009124D0"/>
    <w:rsid w:val="00912DC7"/>
    <w:rsid w:val="00942375"/>
    <w:rsid w:val="00962CDC"/>
    <w:rsid w:val="00966F28"/>
    <w:rsid w:val="0097016D"/>
    <w:rsid w:val="00974B13"/>
    <w:rsid w:val="009811FC"/>
    <w:rsid w:val="00982568"/>
    <w:rsid w:val="009933EC"/>
    <w:rsid w:val="009A1585"/>
    <w:rsid w:val="009B40AF"/>
    <w:rsid w:val="009C0E23"/>
    <w:rsid w:val="009C3399"/>
    <w:rsid w:val="009C45CD"/>
    <w:rsid w:val="009D3D23"/>
    <w:rsid w:val="009E30A1"/>
    <w:rsid w:val="009F10BB"/>
    <w:rsid w:val="009F1653"/>
    <w:rsid w:val="00A0785C"/>
    <w:rsid w:val="00A10E28"/>
    <w:rsid w:val="00A12F8B"/>
    <w:rsid w:val="00A13D28"/>
    <w:rsid w:val="00A15057"/>
    <w:rsid w:val="00A22AA8"/>
    <w:rsid w:val="00A268B3"/>
    <w:rsid w:val="00A33EE1"/>
    <w:rsid w:val="00A62644"/>
    <w:rsid w:val="00A83979"/>
    <w:rsid w:val="00A90B4F"/>
    <w:rsid w:val="00A96B45"/>
    <w:rsid w:val="00AB175A"/>
    <w:rsid w:val="00AB1A17"/>
    <w:rsid w:val="00AC00D7"/>
    <w:rsid w:val="00AD170A"/>
    <w:rsid w:val="00AD5B2F"/>
    <w:rsid w:val="00AE189E"/>
    <w:rsid w:val="00AF178E"/>
    <w:rsid w:val="00B12AE6"/>
    <w:rsid w:val="00B168D4"/>
    <w:rsid w:val="00B24119"/>
    <w:rsid w:val="00B2770E"/>
    <w:rsid w:val="00B30757"/>
    <w:rsid w:val="00B325FC"/>
    <w:rsid w:val="00B34505"/>
    <w:rsid w:val="00B36BD3"/>
    <w:rsid w:val="00B435D0"/>
    <w:rsid w:val="00B52B6D"/>
    <w:rsid w:val="00B61975"/>
    <w:rsid w:val="00B6256E"/>
    <w:rsid w:val="00B8454B"/>
    <w:rsid w:val="00B84D5E"/>
    <w:rsid w:val="00BA36F4"/>
    <w:rsid w:val="00BA64CF"/>
    <w:rsid w:val="00BA712A"/>
    <w:rsid w:val="00BB4E95"/>
    <w:rsid w:val="00BC0A15"/>
    <w:rsid w:val="00BC304F"/>
    <w:rsid w:val="00BF370C"/>
    <w:rsid w:val="00BF7BD0"/>
    <w:rsid w:val="00C16DC3"/>
    <w:rsid w:val="00C456CF"/>
    <w:rsid w:val="00C46769"/>
    <w:rsid w:val="00C52256"/>
    <w:rsid w:val="00C57D19"/>
    <w:rsid w:val="00C57EF6"/>
    <w:rsid w:val="00C61279"/>
    <w:rsid w:val="00C6399B"/>
    <w:rsid w:val="00C65B96"/>
    <w:rsid w:val="00C77153"/>
    <w:rsid w:val="00C800BA"/>
    <w:rsid w:val="00C84CDA"/>
    <w:rsid w:val="00C90298"/>
    <w:rsid w:val="00CA6218"/>
    <w:rsid w:val="00CA7D0E"/>
    <w:rsid w:val="00CB043A"/>
    <w:rsid w:val="00CC7D7F"/>
    <w:rsid w:val="00CD3659"/>
    <w:rsid w:val="00CD4D34"/>
    <w:rsid w:val="00CF71D9"/>
    <w:rsid w:val="00D061FE"/>
    <w:rsid w:val="00D1057E"/>
    <w:rsid w:val="00D12553"/>
    <w:rsid w:val="00D130A0"/>
    <w:rsid w:val="00D13463"/>
    <w:rsid w:val="00D17E87"/>
    <w:rsid w:val="00D4638F"/>
    <w:rsid w:val="00D467E5"/>
    <w:rsid w:val="00D46AD7"/>
    <w:rsid w:val="00D47B53"/>
    <w:rsid w:val="00D64633"/>
    <w:rsid w:val="00D75672"/>
    <w:rsid w:val="00D90881"/>
    <w:rsid w:val="00D94A8D"/>
    <w:rsid w:val="00D96AE8"/>
    <w:rsid w:val="00D975C6"/>
    <w:rsid w:val="00DA3CF7"/>
    <w:rsid w:val="00DA3EE2"/>
    <w:rsid w:val="00DB1702"/>
    <w:rsid w:val="00DB7F52"/>
    <w:rsid w:val="00DE470D"/>
    <w:rsid w:val="00DE7CAF"/>
    <w:rsid w:val="00E05AE9"/>
    <w:rsid w:val="00E179AE"/>
    <w:rsid w:val="00E2444C"/>
    <w:rsid w:val="00E25366"/>
    <w:rsid w:val="00E27D5E"/>
    <w:rsid w:val="00E30B19"/>
    <w:rsid w:val="00E37BD8"/>
    <w:rsid w:val="00E5231C"/>
    <w:rsid w:val="00E75D54"/>
    <w:rsid w:val="00E77803"/>
    <w:rsid w:val="00E80B74"/>
    <w:rsid w:val="00E90439"/>
    <w:rsid w:val="00E929B2"/>
    <w:rsid w:val="00EA3F3F"/>
    <w:rsid w:val="00EA563E"/>
    <w:rsid w:val="00EA78DD"/>
    <w:rsid w:val="00EB1750"/>
    <w:rsid w:val="00EB1F5F"/>
    <w:rsid w:val="00EC0D92"/>
    <w:rsid w:val="00EC14C3"/>
    <w:rsid w:val="00EC75C5"/>
    <w:rsid w:val="00ED2F3D"/>
    <w:rsid w:val="00ED601E"/>
    <w:rsid w:val="00EE504A"/>
    <w:rsid w:val="00EF6B19"/>
    <w:rsid w:val="00F024F2"/>
    <w:rsid w:val="00F10778"/>
    <w:rsid w:val="00F53B39"/>
    <w:rsid w:val="00F60911"/>
    <w:rsid w:val="00F614F1"/>
    <w:rsid w:val="00F65D99"/>
    <w:rsid w:val="00F82200"/>
    <w:rsid w:val="00F92CBC"/>
    <w:rsid w:val="00F95329"/>
    <w:rsid w:val="00FA0CE0"/>
    <w:rsid w:val="00FA50A4"/>
    <w:rsid w:val="00FB176B"/>
    <w:rsid w:val="00FB3F67"/>
    <w:rsid w:val="00FB7673"/>
    <w:rsid w:val="00FC3C54"/>
    <w:rsid w:val="00FD3E64"/>
    <w:rsid w:val="00FE7460"/>
    <w:rsid w:val="00F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8"/>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EC14C3"/>
  </w:style>
  <w:style w:type="paragraph" w:styleId="ListParagraph">
    <w:name w:val="List Paragraph"/>
    <w:basedOn w:val="Normal"/>
    <w:uiPriority w:val="34"/>
    <w:qFormat/>
    <w:rsid w:val="00EC14C3"/>
    <w:pPr>
      <w:ind w:left="720"/>
      <w:contextualSpacing/>
    </w:pPr>
  </w:style>
  <w:style w:type="character" w:styleId="CommentReference">
    <w:name w:val="annotation reference"/>
    <w:basedOn w:val="DefaultParagraphFont"/>
    <w:rsid w:val="00EC14C3"/>
    <w:rPr>
      <w:sz w:val="16"/>
      <w:szCs w:val="16"/>
    </w:rPr>
  </w:style>
  <w:style w:type="paragraph" w:styleId="CommentText">
    <w:name w:val="annotation text"/>
    <w:basedOn w:val="Normal"/>
    <w:link w:val="CommentTextChar"/>
    <w:rsid w:val="00EC14C3"/>
  </w:style>
  <w:style w:type="character" w:customStyle="1" w:styleId="CommentTextChar">
    <w:name w:val="Comment Text Char"/>
    <w:basedOn w:val="DefaultParagraphFont"/>
    <w:link w:val="CommentText"/>
    <w:rsid w:val="00EC14C3"/>
  </w:style>
  <w:style w:type="paragraph" w:styleId="CommentSubject">
    <w:name w:val="annotation subject"/>
    <w:basedOn w:val="CommentText"/>
    <w:next w:val="CommentText"/>
    <w:link w:val="CommentSubjectChar"/>
    <w:rsid w:val="00EC14C3"/>
    <w:rPr>
      <w:b/>
      <w:bCs/>
    </w:rPr>
  </w:style>
  <w:style w:type="character" w:customStyle="1" w:styleId="CommentSubjectChar">
    <w:name w:val="Comment Subject Char"/>
    <w:basedOn w:val="CommentTextChar"/>
    <w:link w:val="CommentSubject"/>
    <w:rsid w:val="00EC14C3"/>
    <w:rPr>
      <w:b/>
      <w:bCs/>
    </w:rPr>
  </w:style>
  <w:style w:type="paragraph" w:styleId="Revision">
    <w:name w:val="Revision"/>
    <w:hidden/>
    <w:uiPriority w:val="99"/>
    <w:semiHidden/>
    <w:rsid w:val="00EC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1846</TotalTime>
  <Pages>6</Pages>
  <Words>1357</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59</cp:revision>
  <cp:lastPrinted>2007-07-03T14:14:00Z</cp:lastPrinted>
  <dcterms:created xsi:type="dcterms:W3CDTF">2021-10-25T18:51:00Z</dcterms:created>
  <dcterms:modified xsi:type="dcterms:W3CDTF">2024-10-21T20:48:00Z</dcterms:modified>
</cp:coreProperties>
</file>